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9CFEE" w14:textId="0FE855DF" w:rsidR="00776D5D" w:rsidRPr="009E4316" w:rsidRDefault="004416D1" w:rsidP="000A140B">
      <w:pPr>
        <w:pStyle w:val="berschrift1"/>
      </w:pPr>
      <w:r>
        <w:t>Reconstruction of the “</w:t>
      </w:r>
      <w:proofErr w:type="spellStart"/>
      <w:r>
        <w:t>Terfen</w:t>
      </w:r>
      <w:r w:rsidR="000E753C">
        <w:t>er</w:t>
      </w:r>
      <w:proofErr w:type="spellEnd"/>
      <w:r w:rsidR="000E753C">
        <w:t xml:space="preserve"> </w:t>
      </w:r>
      <w:bookmarkStart w:id="0" w:name="_GoBack"/>
      <w:proofErr w:type="spellStart"/>
      <w:r w:rsidR="000E753C">
        <w:t>Innbrücke</w:t>
      </w:r>
      <w:bookmarkEnd w:id="0"/>
      <w:proofErr w:type="spellEnd"/>
      <w:r w:rsidR="000E753C">
        <w:t>” bridge on the A12 </w:t>
      </w:r>
      <w:r>
        <w:t xml:space="preserve">motorway in Austria’s </w:t>
      </w:r>
      <w:proofErr w:type="spellStart"/>
      <w:r>
        <w:t>Inntal</w:t>
      </w:r>
      <w:proofErr w:type="spellEnd"/>
      <w:r>
        <w:t xml:space="preserve"> valley</w:t>
      </w:r>
    </w:p>
    <w:p w14:paraId="0A0AAA57" w14:textId="50B99230" w:rsidR="00776D5D" w:rsidRPr="009E4316" w:rsidRDefault="00AC4378" w:rsidP="001E029A">
      <w:pPr>
        <w:pStyle w:val="berschrift2"/>
      </w:pPr>
      <w:proofErr w:type="spellStart"/>
      <w:r>
        <w:t>Terfener</w:t>
      </w:r>
      <w:proofErr w:type="spellEnd"/>
      <w:r>
        <w:t xml:space="preserve"> </w:t>
      </w:r>
      <w:proofErr w:type="spellStart"/>
      <w:r>
        <w:t>Innbrücke</w:t>
      </w:r>
      <w:proofErr w:type="spellEnd"/>
      <w:r>
        <w:t xml:space="preserve">, </w:t>
      </w:r>
      <w:proofErr w:type="spellStart"/>
      <w:r>
        <w:t>Terfens</w:t>
      </w:r>
      <w:proofErr w:type="spellEnd"/>
      <w:r>
        <w:t>, Austria</w:t>
      </w:r>
    </w:p>
    <w:p w14:paraId="56358D04" w14:textId="3A47F201" w:rsidR="00C10855" w:rsidRDefault="00E125AD" w:rsidP="00FB2987">
      <w:pPr>
        <w:pStyle w:val="Einleitung"/>
      </w:pPr>
      <w:r>
        <w:t xml:space="preserve">The </w:t>
      </w:r>
      <w:proofErr w:type="spellStart"/>
      <w:r>
        <w:t>Terfener</w:t>
      </w:r>
      <w:proofErr w:type="spellEnd"/>
      <w:r>
        <w:t xml:space="preserve"> </w:t>
      </w:r>
      <w:proofErr w:type="spellStart"/>
      <w:r>
        <w:t>Innbrücke</w:t>
      </w:r>
      <w:proofErr w:type="spellEnd"/>
      <w:r>
        <w:t xml:space="preserve"> re</w:t>
      </w:r>
      <w:r w:rsidR="00320F2A">
        <w:t>construction project on the A12 </w:t>
      </w:r>
      <w:r>
        <w:t xml:space="preserve">motorway in the </w:t>
      </w:r>
      <w:proofErr w:type="spellStart"/>
      <w:r>
        <w:t>Inntal</w:t>
      </w:r>
      <w:proofErr w:type="spellEnd"/>
      <w:r>
        <w:t xml:space="preserve"> valley is one of largest bridge construction projects currently being carried out in the west of Austria. With PERI by their side, the client has been successful in implementing the project according to the demanding construction schedule since construction began in 2018. In addition to providing comprehensive planning services and on-site support during the project, PERI has also made use of the VBC Balanced Cantilever Carriage for the first time in Central Europe.</w:t>
      </w:r>
    </w:p>
    <w:p w14:paraId="5F6FC23F" w14:textId="35CE0631" w:rsidR="00112EE8" w:rsidRDefault="00B25EE9" w:rsidP="00FB2987">
      <w:pPr>
        <w:pStyle w:val="Flietext"/>
      </w:pPr>
      <w:r>
        <w:t>The A12</w:t>
      </w:r>
      <w:r w:rsidR="00320F2A">
        <w:t> </w:t>
      </w:r>
      <w:r>
        <w:t xml:space="preserve">motorway winds its way through the heart of the Austrian federal state of Tyrol for around 153 km, starting at </w:t>
      </w:r>
      <w:proofErr w:type="spellStart"/>
      <w:r>
        <w:t>Kiefersfelden</w:t>
      </w:r>
      <w:proofErr w:type="spellEnd"/>
      <w:r>
        <w:t>/</w:t>
      </w:r>
      <w:proofErr w:type="spellStart"/>
      <w:r>
        <w:t>Kufstein</w:t>
      </w:r>
      <w:proofErr w:type="spellEnd"/>
      <w:r>
        <w:t xml:space="preserve"> at the German-Austrian border and passing the city of Innsbruck on its way towards the municipality of </w:t>
      </w:r>
      <w:proofErr w:type="spellStart"/>
      <w:r>
        <w:t>Zams</w:t>
      </w:r>
      <w:proofErr w:type="spellEnd"/>
      <w:r>
        <w:t xml:space="preserve">. The motorway cuts through the </w:t>
      </w:r>
      <w:proofErr w:type="spellStart"/>
      <w:r>
        <w:t>Inntal</w:t>
      </w:r>
      <w:proofErr w:type="spellEnd"/>
      <w:r>
        <w:t xml:space="preserve"> valley, which provides the backdrop for the </w:t>
      </w:r>
      <w:proofErr w:type="spellStart"/>
      <w:r>
        <w:t>Inntalbrücke</w:t>
      </w:r>
      <w:proofErr w:type="spellEnd"/>
      <w:r>
        <w:t>, a bridge measuring roughly 235 m in length. Every day, approximately 60,000 vehicles use this bridge to get from one side of the Inn river to the other. For reasons of efficiency and safety, reconstruction of the bridge began in 2018 with a strict c</w:t>
      </w:r>
      <w:r w:rsidR="00320F2A">
        <w:t>onstruction time frame of three </w:t>
      </w:r>
      <w:r>
        <w:t>years. The project will see the two existing steel composite bridges replaced by two new bridge support structures made of pre-stressed concrete.</w:t>
      </w:r>
    </w:p>
    <w:p w14:paraId="5D7BC506" w14:textId="0663BD0A" w:rsidR="00EC7EA7" w:rsidRPr="00EC7EA7" w:rsidRDefault="009500C5" w:rsidP="00EC7EA7">
      <w:pPr>
        <w:pStyle w:val="berschrift3"/>
      </w:pPr>
      <w:r>
        <w:t>Comprehensive solution from a single source</w:t>
      </w:r>
    </w:p>
    <w:p w14:paraId="2624F61F" w14:textId="55034DC5" w:rsidR="00E605AF" w:rsidRDefault="005C103A" w:rsidP="00FB2987">
      <w:pPr>
        <w:pStyle w:val="Flietext"/>
      </w:pPr>
      <w:r>
        <w:t xml:space="preserve">The project was implemented using the cantilever construction method. This bridge construction process, which is carried out according to the beam principle, sees the superstructure erected in relatively short sections starting from the piers, using a cantilever carriage. PERI engineers assumed responsibility for the project-specific planning process and the static calculations for </w:t>
      </w:r>
      <w:r w:rsidR="005B11A5">
        <w:t xml:space="preserve">the </w:t>
      </w:r>
      <w:r>
        <w:t xml:space="preserve">balanced cantilever </w:t>
      </w:r>
      <w:r w:rsidR="005B11A5">
        <w:t>carriage</w:t>
      </w:r>
      <w:r>
        <w:t>. By using the VBC Balanced Cantilever Carriage including formwork, PERI was able to provide the client with a tailor-made, comprehensive solution – from the planning phase right through to the final product and even on-site support. This meant that all of the systems and processes were optimally coordinated, thereby minimising potential sources of error and interface losses.</w:t>
      </w:r>
    </w:p>
    <w:p w14:paraId="0283614A" w14:textId="0AD611D1" w:rsidR="00575644" w:rsidRPr="00EC7EA7" w:rsidRDefault="00971EB8" w:rsidP="00575644">
      <w:pPr>
        <w:pStyle w:val="berschrift3"/>
      </w:pPr>
      <w:r>
        <w:lastRenderedPageBreak/>
        <w:t>A cost-effective comprehensive solution</w:t>
      </w:r>
    </w:p>
    <w:p w14:paraId="2D0AB2D1" w14:textId="3AA72FB7" w:rsidR="004406E9" w:rsidRDefault="00FB6F3E" w:rsidP="00FB2987">
      <w:pPr>
        <w:pStyle w:val="Flietext"/>
      </w:pPr>
      <w:r>
        <w:t>Considering the fact they are ba</w:t>
      </w:r>
      <w:r w:rsidR="00596949">
        <w:t xml:space="preserve">sed on the VARIOKIT Engineering Construction </w:t>
      </w:r>
      <w:r>
        <w:t xml:space="preserve">Kit, the rentable system components of the VBC Balanced Cantilever Carriage could be made available at short notice. The first delivery of </w:t>
      </w:r>
      <w:r w:rsidR="005B11A5">
        <w:t>materials took place in January </w:t>
      </w:r>
      <w:r>
        <w:t>2019. The first concretin</w:t>
      </w:r>
      <w:r w:rsidR="00EE77AF">
        <w:t>g process was carried out only two </w:t>
      </w:r>
      <w:r>
        <w:t>month</w:t>
      </w:r>
      <w:r w:rsidR="00EE77AF">
        <w:t>s</w:t>
      </w:r>
      <w:r>
        <w:t xml:space="preserve"> later.</w:t>
      </w:r>
    </w:p>
    <w:p w14:paraId="4AF92BD2" w14:textId="139B8FA6" w:rsidR="0054605E" w:rsidRDefault="00F5469C" w:rsidP="00FB2987">
      <w:pPr>
        <w:pStyle w:val="Flietext"/>
      </w:pPr>
      <w:r>
        <w:t xml:space="preserve">The decision to use the VBC Balanced Cantilever Carriage meant that 5.70-m-long concreting sections could be realised. </w:t>
      </w:r>
      <w:r w:rsidR="005B11A5">
        <w:t xml:space="preserve">This resulted in a reduction of only four cycles </w:t>
      </w:r>
      <w:r w:rsidR="005B11A5" w:rsidRPr="005B11A5">
        <w:t xml:space="preserve">per bridge </w:t>
      </w:r>
      <w:r w:rsidR="005B11A5">
        <w:t xml:space="preserve">support structure: </w:t>
      </w:r>
      <w:r w:rsidR="005B11A5" w:rsidRPr="005B11A5">
        <w:t>a total of eight during the project.</w:t>
      </w:r>
      <w:r w:rsidR="005B11A5">
        <w:t xml:space="preserve"> </w:t>
      </w:r>
      <w:r>
        <w:t>The fact that the system is highly flexible and easy to align meant that the respective segments could be concreted in weekly cycles. What's more, the fully integrated hydraulic unit simplified the process of adjusting and calibrating the formwork from one section to the next. Given the fact it is convenient to operate, the system could be moved to the next cycle quickly and easily.</w:t>
      </w:r>
    </w:p>
    <w:p w14:paraId="40C7A79E" w14:textId="2259E6E7" w:rsidR="00FB6F3E" w:rsidRDefault="00971EB8" w:rsidP="00FB6F3E">
      <w:pPr>
        <w:pStyle w:val="berschrift3"/>
      </w:pPr>
      <w:r>
        <w:t>A clever system for balanced cantilever construction</w:t>
      </w:r>
    </w:p>
    <w:p w14:paraId="309AA166" w14:textId="7256CC6F" w:rsidR="00D428DC" w:rsidRDefault="009124E5" w:rsidP="00431F98">
      <w:pPr>
        <w:pStyle w:val="Flietext"/>
      </w:pPr>
      <w:r>
        <w:t>All in all, the complexity of this project was considerable. With this in mind, the VBC Balanced Cantilever Carriage proved extremely useful due to the fact that it could be adapted flexibly to specific require</w:t>
      </w:r>
      <w:r w:rsidR="00D428DC">
        <w:t xml:space="preserve">ments on the construction site. </w:t>
      </w:r>
      <w:r>
        <w:t>For example, the presence of the longitudinal cantilevered slab retaining wall in the area of the abutment, which runs from the upper edge of the foundation up to the lower edge of the cantilevered slab, meant that it was necessary to alter the projection of the cross girders in the grate and to have a supporting structure spacing of only 50 cm.</w:t>
      </w:r>
    </w:p>
    <w:p w14:paraId="47749616" w14:textId="7B9FDAE5" w:rsidR="00931C41" w:rsidRPr="00FB6F3E" w:rsidRDefault="009124E5" w:rsidP="00431F98">
      <w:pPr>
        <w:pStyle w:val="Flietext"/>
      </w:pPr>
      <w:r>
        <w:t>The formwork carriage also proved to be advantageous when concreting the carriageway slab as its carriageway slab formwork reduced the degree of penetration in the supporting structure due to the fact it is position</w:t>
      </w:r>
      <w:r w:rsidR="00320F2A">
        <w:t>ed on the M24 tie </w:t>
      </w:r>
      <w:r w:rsidR="00F84A5A">
        <w:t>sleeves. The balanced c</w:t>
      </w:r>
      <w:r>
        <w:t>antilever </w:t>
      </w:r>
      <w:r w:rsidR="00F84A5A">
        <w:t>c</w:t>
      </w:r>
      <w:r>
        <w:t>arriage was also comparatively straightforward to dismantle. The time-consuming process of lowering the rails to retract the carriages was not required.</w:t>
      </w:r>
    </w:p>
    <w:p w14:paraId="3F19DC1F" w14:textId="6ED6F8F6" w:rsidR="00FB6F3E" w:rsidRDefault="0002393F" w:rsidP="00D4564D">
      <w:pPr>
        <w:pStyle w:val="berschrift3"/>
      </w:pPr>
      <w:r>
        <w:t>Comprehensive support prior to and during the construction work</w:t>
      </w:r>
    </w:p>
    <w:p w14:paraId="24AE3364" w14:textId="54B6C9A5" w:rsidR="00931C41" w:rsidRDefault="0002393F" w:rsidP="00431F98">
      <w:pPr>
        <w:pStyle w:val="Flietext"/>
      </w:pPr>
      <w:r>
        <w:t>The cons</w:t>
      </w:r>
      <w:r w:rsidR="00320F2A">
        <w:t>truction site team and the PERI </w:t>
      </w:r>
      <w:r>
        <w:t xml:space="preserve">engineers have had to overcome some challenges over the course of the project. For example, the Innsbruck area, </w:t>
      </w:r>
      <w:r w:rsidR="00320F2A">
        <w:t xml:space="preserve">and therefore also the </w:t>
      </w:r>
      <w:proofErr w:type="spellStart"/>
      <w:r w:rsidR="00320F2A">
        <w:t>Terfener</w:t>
      </w:r>
      <w:proofErr w:type="spellEnd"/>
      <w:r w:rsidR="00320F2A">
        <w:t> </w:t>
      </w:r>
      <w:proofErr w:type="spellStart"/>
      <w:r w:rsidR="00320F2A">
        <w:t>Innbrücke</w:t>
      </w:r>
      <w:proofErr w:type="spellEnd"/>
      <w:r>
        <w:t xml:space="preserve">, happens to be in an earthquake zone. As such, the structural calculations used for both the bridge support structure and the </w:t>
      </w:r>
      <w:r>
        <w:lastRenderedPageBreak/>
        <w:t>balanced cantilever carriage had to allow for seismic loads in order to account for the possibility of an earthquake.</w:t>
      </w:r>
    </w:p>
    <w:p w14:paraId="398C9D21" w14:textId="51702B54" w:rsidR="00983F0A" w:rsidRDefault="00011B22" w:rsidP="00431F98">
      <w:pPr>
        <w:pStyle w:val="Flietext"/>
      </w:pPr>
      <w:r>
        <w:t>For the duration of the project, a supervisor provided the team with regular on-site support with activities such as assembling the supporting structure, operating the VBC Balanced Cantilever Carriage, switching to the next hammer head and di</w:t>
      </w:r>
      <w:r w:rsidR="00527436">
        <w:t>smantling the formwork carriage</w:t>
      </w:r>
      <w:r>
        <w:t>.</w:t>
      </w:r>
    </w:p>
    <w:p w14:paraId="6A13EB3F" w14:textId="77777777" w:rsidR="003656B4" w:rsidRPr="00431F98" w:rsidRDefault="003656B4" w:rsidP="00431F98">
      <w:pPr>
        <w:pStyle w:val="Flietext"/>
      </w:pPr>
    </w:p>
    <w:tbl>
      <w:tblPr>
        <w:tblW w:w="7111" w:type="dxa"/>
        <w:tblLayout w:type="fixed"/>
        <w:tblCellMar>
          <w:left w:w="0" w:type="dxa"/>
          <w:right w:w="0" w:type="dxa"/>
        </w:tblCellMar>
        <w:tblLook w:val="01E0" w:firstRow="1" w:lastRow="1" w:firstColumn="1" w:lastColumn="1" w:noHBand="0" w:noVBand="0"/>
      </w:tblPr>
      <w:tblGrid>
        <w:gridCol w:w="3556"/>
        <w:gridCol w:w="3555"/>
      </w:tblGrid>
      <w:tr w:rsidR="00DD7CAB" w:rsidRPr="00CF7D7B" w14:paraId="022152FF" w14:textId="77777777" w:rsidTr="00575B29">
        <w:trPr>
          <w:cantSplit/>
        </w:trPr>
        <w:tc>
          <w:tcPr>
            <w:tcW w:w="3556" w:type="dxa"/>
            <w:tcMar>
              <w:top w:w="113" w:type="dxa"/>
              <w:left w:w="0" w:type="dxa"/>
              <w:bottom w:w="113" w:type="dxa"/>
              <w:right w:w="0" w:type="dxa"/>
            </w:tcMar>
          </w:tcPr>
          <w:p w14:paraId="7687C675" w14:textId="3B3F35D0" w:rsidR="00DD7CAB" w:rsidRDefault="00F84A5A" w:rsidP="001E40FE">
            <w:r>
              <w:rPr>
                <w:noProof/>
                <w:lang w:val="de-DE" w:eastAsia="de-DE"/>
              </w:rPr>
              <w:drawing>
                <wp:inline distT="0" distB="0" distL="0" distR="0" wp14:anchorId="769F061A" wp14:editId="5D26F984">
                  <wp:extent cx="2254250" cy="1504950"/>
                  <wp:effectExtent l="0" t="0" r="0" b="0"/>
                  <wp:docPr id="1" name="Grafik 1" descr="PERI_Terfener_Innbruecke-200_rd_30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ERI_Terfener_Innbruecke-200_rd_300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4250" cy="1504950"/>
                          </a:xfrm>
                          <a:prstGeom prst="rect">
                            <a:avLst/>
                          </a:prstGeom>
                          <a:noFill/>
                          <a:ln>
                            <a:noFill/>
                          </a:ln>
                        </pic:spPr>
                      </pic:pic>
                    </a:graphicData>
                  </a:graphic>
                </wp:inline>
              </w:drawing>
            </w:r>
          </w:p>
        </w:tc>
        <w:tc>
          <w:tcPr>
            <w:tcW w:w="3555" w:type="dxa"/>
            <w:tcMar>
              <w:top w:w="113" w:type="dxa"/>
              <w:left w:w="113" w:type="dxa"/>
              <w:bottom w:w="113" w:type="dxa"/>
              <w:right w:w="113" w:type="dxa"/>
            </w:tcMar>
          </w:tcPr>
          <w:p w14:paraId="51F8D036" w14:textId="77777777" w:rsidR="00DD7CAB" w:rsidRPr="00DF4268" w:rsidRDefault="00DD7CAB" w:rsidP="00D674E5">
            <w:pPr>
              <w:pStyle w:val="Bildunterschriftbold"/>
            </w:pPr>
            <w:r>
              <w:t>Image 1</w:t>
            </w:r>
          </w:p>
          <w:p w14:paraId="515881C1" w14:textId="480366B0" w:rsidR="00DD7CAB" w:rsidRPr="00DF4268" w:rsidRDefault="00DD7CAB" w:rsidP="00AD1E1E">
            <w:pPr>
              <w:pStyle w:val="Bildunterschriftlight"/>
            </w:pPr>
            <w:r>
              <w:t xml:space="preserve">The </w:t>
            </w:r>
            <w:proofErr w:type="spellStart"/>
            <w:r>
              <w:t>Terfener</w:t>
            </w:r>
            <w:proofErr w:type="spellEnd"/>
            <w:r w:rsidR="00320F2A">
              <w:t> </w:t>
            </w:r>
            <w:proofErr w:type="spellStart"/>
            <w:r w:rsidR="00320F2A">
              <w:t>Innbrücke</w:t>
            </w:r>
            <w:proofErr w:type="spellEnd"/>
            <w:r>
              <w:t>, which measures roughly 235 m in</w:t>
            </w:r>
            <w:r w:rsidR="00320F2A">
              <w:t xml:space="preserve"> length, is situated on the A12 </w:t>
            </w:r>
            <w:r>
              <w:t xml:space="preserve">motorway in the </w:t>
            </w:r>
            <w:proofErr w:type="spellStart"/>
            <w:r>
              <w:t>Inntal</w:t>
            </w:r>
            <w:proofErr w:type="spellEnd"/>
            <w:r>
              <w:t xml:space="preserve"> valley in Tyrol.</w:t>
            </w:r>
          </w:p>
          <w:p w14:paraId="51D5621A" w14:textId="4B76B6A8" w:rsidR="00DD7CAB" w:rsidRDefault="00DD7CAB" w:rsidP="00D674E5">
            <w:pPr>
              <w:pStyle w:val="Bildunterschriftlight"/>
            </w:pPr>
            <w:r>
              <w:t xml:space="preserve">(Photo: </w:t>
            </w:r>
            <w:proofErr w:type="spellStart"/>
            <w:r>
              <w:t>Günther</w:t>
            </w:r>
            <w:proofErr w:type="spellEnd"/>
            <w:r>
              <w:t xml:space="preserve"> </w:t>
            </w:r>
            <w:proofErr w:type="spellStart"/>
            <w:r>
              <w:t>Bayerl</w:t>
            </w:r>
            <w:proofErr w:type="spellEnd"/>
            <w:r>
              <w:t>)</w:t>
            </w:r>
          </w:p>
        </w:tc>
      </w:tr>
      <w:tr w:rsidR="001E40FE" w:rsidRPr="00CF7D7B" w14:paraId="05DDF934" w14:textId="77777777" w:rsidTr="00575B29">
        <w:trPr>
          <w:cantSplit/>
        </w:trPr>
        <w:tc>
          <w:tcPr>
            <w:tcW w:w="3556" w:type="dxa"/>
            <w:tcMar>
              <w:top w:w="113" w:type="dxa"/>
              <w:left w:w="0" w:type="dxa"/>
              <w:bottom w:w="113" w:type="dxa"/>
              <w:right w:w="0" w:type="dxa"/>
            </w:tcMar>
          </w:tcPr>
          <w:p w14:paraId="2751B4BF" w14:textId="69218914" w:rsidR="003656B4" w:rsidRPr="00D51466" w:rsidRDefault="00F84A5A" w:rsidP="001E40FE">
            <w:r>
              <w:rPr>
                <w:noProof/>
                <w:lang w:val="de-DE" w:eastAsia="de-DE"/>
              </w:rPr>
              <w:drawing>
                <wp:inline distT="0" distB="0" distL="0" distR="0" wp14:anchorId="59BFF0BF" wp14:editId="15BF5B62">
                  <wp:extent cx="2254250" cy="1168400"/>
                  <wp:effectExtent l="0" t="0" r="0" b="0"/>
                  <wp:docPr id="2" name="Grafik 2" descr="PERI_Terfener_Innbruecke-043_pe_30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ERI_Terfener_Innbruecke-043_pe_300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4250" cy="1168400"/>
                          </a:xfrm>
                          <a:prstGeom prst="rect">
                            <a:avLst/>
                          </a:prstGeom>
                          <a:noFill/>
                          <a:ln>
                            <a:noFill/>
                          </a:ln>
                        </pic:spPr>
                      </pic:pic>
                    </a:graphicData>
                  </a:graphic>
                </wp:inline>
              </w:drawing>
            </w:r>
          </w:p>
        </w:tc>
        <w:tc>
          <w:tcPr>
            <w:tcW w:w="3555" w:type="dxa"/>
            <w:tcMar>
              <w:top w:w="113" w:type="dxa"/>
              <w:left w:w="113" w:type="dxa"/>
              <w:bottom w:w="113" w:type="dxa"/>
              <w:right w:w="113" w:type="dxa"/>
            </w:tcMar>
          </w:tcPr>
          <w:p w14:paraId="048FC3E7" w14:textId="51B48BBE" w:rsidR="001E40FE" w:rsidRPr="00DF4268" w:rsidRDefault="00DD7CAB" w:rsidP="00D674E5">
            <w:pPr>
              <w:pStyle w:val="Bildunterschriftbold"/>
            </w:pPr>
            <w:r>
              <w:t>Image 2</w:t>
            </w:r>
          </w:p>
          <w:p w14:paraId="1A5B3775" w14:textId="136687ED" w:rsidR="001E40FE" w:rsidRPr="00DF4268" w:rsidRDefault="00DD7CAB" w:rsidP="00AD1E1E">
            <w:pPr>
              <w:pStyle w:val="Bildunterschriftlight"/>
            </w:pPr>
            <w:r>
              <w:t>The project was carried out using the balanced cantilever construction method and the VBC Balanced Cantilever Carriage. The rentable system components of the VARIOKIT Engineering Construction Kit provided the basis for this.</w:t>
            </w:r>
          </w:p>
          <w:p w14:paraId="386B425F" w14:textId="77777777" w:rsidR="001E40FE" w:rsidRDefault="001E40FE" w:rsidP="00D674E5">
            <w:pPr>
              <w:pStyle w:val="Bildunterschriftlight"/>
            </w:pPr>
            <w:r>
              <w:t xml:space="preserve">(Photo: </w:t>
            </w:r>
            <w:proofErr w:type="spellStart"/>
            <w:r>
              <w:t>Günther</w:t>
            </w:r>
            <w:proofErr w:type="spellEnd"/>
            <w:r>
              <w:t xml:space="preserve"> </w:t>
            </w:r>
            <w:proofErr w:type="spellStart"/>
            <w:r>
              <w:t>Bayerl</w:t>
            </w:r>
            <w:proofErr w:type="spellEnd"/>
            <w:r>
              <w:t>)</w:t>
            </w:r>
          </w:p>
        </w:tc>
      </w:tr>
      <w:tr w:rsidR="00DD7CAB" w:rsidRPr="00CF7D7B" w14:paraId="6DF6CD9C" w14:textId="77777777" w:rsidTr="00575B29">
        <w:trPr>
          <w:cantSplit/>
        </w:trPr>
        <w:tc>
          <w:tcPr>
            <w:tcW w:w="3556" w:type="dxa"/>
            <w:tcMar>
              <w:top w:w="113" w:type="dxa"/>
              <w:left w:w="0" w:type="dxa"/>
              <w:bottom w:w="113" w:type="dxa"/>
              <w:right w:w="0" w:type="dxa"/>
            </w:tcMar>
          </w:tcPr>
          <w:p w14:paraId="23CA135F" w14:textId="7582FFF5" w:rsidR="00DD7CAB" w:rsidRDefault="00F84A5A" w:rsidP="001E40FE">
            <w:pPr>
              <w:rPr>
                <w:noProof/>
              </w:rPr>
            </w:pPr>
            <w:r>
              <w:rPr>
                <w:noProof/>
                <w:lang w:val="de-DE" w:eastAsia="de-DE"/>
              </w:rPr>
              <w:drawing>
                <wp:inline distT="0" distB="0" distL="0" distR="0" wp14:anchorId="69F78717" wp14:editId="3989C623">
                  <wp:extent cx="2247900" cy="1504950"/>
                  <wp:effectExtent l="0" t="0" r="0" b="0"/>
                  <wp:docPr id="3" name="Grafik 3" descr="PERI_Terfener_Innbruecke-204_pe_30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ERI_Terfener_Innbruecke-204_pe_300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1504950"/>
                          </a:xfrm>
                          <a:prstGeom prst="rect">
                            <a:avLst/>
                          </a:prstGeom>
                          <a:noFill/>
                          <a:ln>
                            <a:noFill/>
                          </a:ln>
                        </pic:spPr>
                      </pic:pic>
                    </a:graphicData>
                  </a:graphic>
                </wp:inline>
              </w:drawing>
            </w:r>
          </w:p>
        </w:tc>
        <w:tc>
          <w:tcPr>
            <w:tcW w:w="3555" w:type="dxa"/>
            <w:tcMar>
              <w:top w:w="113" w:type="dxa"/>
              <w:left w:w="113" w:type="dxa"/>
              <w:bottom w:w="113" w:type="dxa"/>
              <w:right w:w="113" w:type="dxa"/>
            </w:tcMar>
          </w:tcPr>
          <w:p w14:paraId="55B3EA9D" w14:textId="4387E3DD" w:rsidR="00DD7CAB" w:rsidRPr="00DF4268" w:rsidRDefault="00DD7CAB" w:rsidP="00D674E5">
            <w:pPr>
              <w:pStyle w:val="Bildunterschriftbold"/>
            </w:pPr>
            <w:r>
              <w:t>Image 3</w:t>
            </w:r>
          </w:p>
          <w:p w14:paraId="723C681E" w14:textId="5E17F65D" w:rsidR="00DD7CAB" w:rsidRPr="00DF4268" w:rsidRDefault="00DE57CF" w:rsidP="00AD1E1E">
            <w:pPr>
              <w:pStyle w:val="Bildunterschriftlight"/>
            </w:pPr>
            <w:r>
              <w:t>With the VBC Balanced Cantilever Carriage, it was possible to complete 5.70-m-long concreting sections on a weekly basis.</w:t>
            </w:r>
          </w:p>
          <w:p w14:paraId="1A55F077" w14:textId="127333FF" w:rsidR="00DD7CAB" w:rsidRDefault="00DD7CAB" w:rsidP="00D674E5">
            <w:pPr>
              <w:pStyle w:val="Bildunterschriftlight"/>
            </w:pPr>
            <w:r>
              <w:t xml:space="preserve">(Photo: </w:t>
            </w:r>
            <w:proofErr w:type="spellStart"/>
            <w:r>
              <w:t>Günther</w:t>
            </w:r>
            <w:proofErr w:type="spellEnd"/>
            <w:r>
              <w:t xml:space="preserve"> </w:t>
            </w:r>
            <w:proofErr w:type="spellStart"/>
            <w:r>
              <w:t>Bayerl</w:t>
            </w:r>
            <w:proofErr w:type="spellEnd"/>
            <w:r>
              <w:t>)</w:t>
            </w:r>
          </w:p>
        </w:tc>
      </w:tr>
      <w:tr w:rsidR="00BA43D3" w:rsidRPr="00CF7D7B" w14:paraId="73B06E3B" w14:textId="77777777" w:rsidTr="00575B29">
        <w:trPr>
          <w:cantSplit/>
        </w:trPr>
        <w:tc>
          <w:tcPr>
            <w:tcW w:w="3556" w:type="dxa"/>
            <w:tcMar>
              <w:top w:w="113" w:type="dxa"/>
              <w:left w:w="0" w:type="dxa"/>
              <w:bottom w:w="113" w:type="dxa"/>
              <w:right w:w="0" w:type="dxa"/>
            </w:tcMar>
          </w:tcPr>
          <w:p w14:paraId="2FADE655" w14:textId="39AF96F8" w:rsidR="00BA43D3" w:rsidRPr="008D40EB" w:rsidRDefault="00F84A5A" w:rsidP="001E40FE">
            <w:pPr>
              <w:rPr>
                <w:noProof/>
              </w:rPr>
            </w:pPr>
            <w:r>
              <w:rPr>
                <w:noProof/>
                <w:lang w:val="de-DE" w:eastAsia="de-DE"/>
              </w:rPr>
              <w:lastRenderedPageBreak/>
              <w:drawing>
                <wp:inline distT="0" distB="0" distL="0" distR="0" wp14:anchorId="2950B5CE" wp14:editId="0AF0245C">
                  <wp:extent cx="2254250" cy="1504950"/>
                  <wp:effectExtent l="0" t="0" r="0" b="0"/>
                  <wp:docPr id="4" name="Grafik 4" descr="PERI_Terfener_Innbruecke-157_pe_30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ERI_Terfener_Innbruecke-157_pe_300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4250" cy="1504950"/>
                          </a:xfrm>
                          <a:prstGeom prst="rect">
                            <a:avLst/>
                          </a:prstGeom>
                          <a:noFill/>
                          <a:ln>
                            <a:noFill/>
                          </a:ln>
                        </pic:spPr>
                      </pic:pic>
                    </a:graphicData>
                  </a:graphic>
                </wp:inline>
              </w:drawing>
            </w:r>
          </w:p>
        </w:tc>
        <w:tc>
          <w:tcPr>
            <w:tcW w:w="3555" w:type="dxa"/>
            <w:tcMar>
              <w:top w:w="113" w:type="dxa"/>
              <w:left w:w="113" w:type="dxa"/>
              <w:bottom w:w="113" w:type="dxa"/>
              <w:right w:w="113" w:type="dxa"/>
            </w:tcMar>
          </w:tcPr>
          <w:p w14:paraId="3D6A0553" w14:textId="6B184DC7" w:rsidR="00BA43D3" w:rsidRPr="00DF4268" w:rsidRDefault="00DD7CAB" w:rsidP="00D674E5">
            <w:pPr>
              <w:pStyle w:val="Bildunterschriftbold"/>
            </w:pPr>
            <w:r>
              <w:t>Image 4</w:t>
            </w:r>
          </w:p>
          <w:p w14:paraId="275B0EB4" w14:textId="12748479" w:rsidR="00F27833" w:rsidRDefault="00174950" w:rsidP="00AD1E1E">
            <w:pPr>
              <w:pStyle w:val="Bildunterschriftlight"/>
            </w:pPr>
            <w:r>
              <w:t>PERI engineers provided the construction site team with on-site support and carried out comprehensive planning and calculation work.</w:t>
            </w:r>
          </w:p>
          <w:p w14:paraId="6B4FE927" w14:textId="1F0719BC" w:rsidR="00BA43D3" w:rsidRDefault="00B44891" w:rsidP="00D674E5">
            <w:pPr>
              <w:pStyle w:val="Bildunterschriftlight"/>
            </w:pPr>
            <w:r>
              <w:t xml:space="preserve"> (Photo: </w:t>
            </w:r>
            <w:proofErr w:type="spellStart"/>
            <w:r>
              <w:t>Günther</w:t>
            </w:r>
            <w:proofErr w:type="spellEnd"/>
            <w:r>
              <w:t xml:space="preserve"> </w:t>
            </w:r>
            <w:proofErr w:type="spellStart"/>
            <w:r>
              <w:t>Bayerl</w:t>
            </w:r>
            <w:proofErr w:type="spellEnd"/>
            <w:r>
              <w:t>)</w:t>
            </w:r>
          </w:p>
        </w:tc>
      </w:tr>
      <w:tr w:rsidR="00B44891" w:rsidRPr="00CF7D7B" w14:paraId="5361EE2E" w14:textId="77777777" w:rsidTr="00575B29">
        <w:trPr>
          <w:cantSplit/>
        </w:trPr>
        <w:tc>
          <w:tcPr>
            <w:tcW w:w="3556" w:type="dxa"/>
            <w:tcMar>
              <w:top w:w="113" w:type="dxa"/>
              <w:left w:w="0" w:type="dxa"/>
              <w:bottom w:w="113" w:type="dxa"/>
              <w:right w:w="0" w:type="dxa"/>
            </w:tcMar>
          </w:tcPr>
          <w:p w14:paraId="6D479EC5" w14:textId="053EA79D" w:rsidR="00B44891" w:rsidRDefault="00F84A5A" w:rsidP="001E40FE">
            <w:pPr>
              <w:rPr>
                <w:noProof/>
              </w:rPr>
            </w:pPr>
            <w:r>
              <w:rPr>
                <w:noProof/>
                <w:lang w:val="de-DE" w:eastAsia="de-DE"/>
              </w:rPr>
              <w:drawing>
                <wp:inline distT="0" distB="0" distL="0" distR="0" wp14:anchorId="7B35FFCC" wp14:editId="20DACEDD">
                  <wp:extent cx="2254250" cy="3429000"/>
                  <wp:effectExtent l="0" t="0" r="0" b="0"/>
                  <wp:docPr id="5" name="Grafik 5" descr="PERI_Terfener_Innbruecke-210_pe_30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ERI_Terfener_Innbruecke-210_pe_300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4250" cy="3429000"/>
                          </a:xfrm>
                          <a:prstGeom prst="rect">
                            <a:avLst/>
                          </a:prstGeom>
                          <a:noFill/>
                          <a:ln>
                            <a:noFill/>
                          </a:ln>
                        </pic:spPr>
                      </pic:pic>
                    </a:graphicData>
                  </a:graphic>
                </wp:inline>
              </w:drawing>
            </w:r>
          </w:p>
        </w:tc>
        <w:tc>
          <w:tcPr>
            <w:tcW w:w="3555" w:type="dxa"/>
            <w:tcMar>
              <w:top w:w="113" w:type="dxa"/>
              <w:left w:w="113" w:type="dxa"/>
              <w:bottom w:w="113" w:type="dxa"/>
              <w:right w:w="113" w:type="dxa"/>
            </w:tcMar>
          </w:tcPr>
          <w:p w14:paraId="61E1E110" w14:textId="0349D496" w:rsidR="00B44891" w:rsidRPr="00D674E5" w:rsidRDefault="00BD5763" w:rsidP="00D674E5">
            <w:pPr>
              <w:pStyle w:val="Bildunterschriftbold"/>
            </w:pPr>
            <w:r>
              <w:t>Image 5</w:t>
            </w:r>
          </w:p>
          <w:p w14:paraId="31840798" w14:textId="640E5F6F" w:rsidR="00B44891" w:rsidRPr="00DF4268" w:rsidRDefault="00B44891" w:rsidP="00AD1E1E">
            <w:pPr>
              <w:pStyle w:val="Bildunterschriftlight"/>
            </w:pPr>
            <w:r>
              <w:t xml:space="preserve">Given the fact it is convenient to operate, the VBC Balanced Cantilever Carriage could be moved quickly and easily </w:t>
            </w:r>
            <w:r w:rsidR="00320F2A">
              <w:t>to the next of a total of eight </w:t>
            </w:r>
            <w:r>
              <w:t>cycles.</w:t>
            </w:r>
          </w:p>
          <w:p w14:paraId="6FA2CB66" w14:textId="31241176" w:rsidR="00B44891" w:rsidRPr="00D674E5" w:rsidRDefault="00B44891" w:rsidP="00D674E5">
            <w:pPr>
              <w:pStyle w:val="Bildunterschriftlight"/>
            </w:pPr>
            <w:r w:rsidRPr="00D674E5">
              <w:t xml:space="preserve">(Photo: </w:t>
            </w:r>
            <w:proofErr w:type="spellStart"/>
            <w:r w:rsidRPr="00D674E5">
              <w:t>Günther</w:t>
            </w:r>
            <w:proofErr w:type="spellEnd"/>
            <w:r w:rsidRPr="00D674E5">
              <w:t xml:space="preserve"> </w:t>
            </w:r>
            <w:proofErr w:type="spellStart"/>
            <w:r w:rsidRPr="00D674E5">
              <w:t>Bayerl</w:t>
            </w:r>
            <w:proofErr w:type="spellEnd"/>
            <w:r w:rsidRPr="00D674E5">
              <w:t>)</w:t>
            </w:r>
          </w:p>
        </w:tc>
      </w:tr>
      <w:tr w:rsidR="001E40FE" w:rsidRPr="00D16057" w14:paraId="7EEE8112" w14:textId="77777777">
        <w:trPr>
          <w:cantSplit/>
        </w:trPr>
        <w:tc>
          <w:tcPr>
            <w:tcW w:w="7111" w:type="dxa"/>
            <w:gridSpan w:val="2"/>
            <w:tcMar>
              <w:top w:w="113" w:type="dxa"/>
              <w:left w:w="0" w:type="dxa"/>
              <w:bottom w:w="113" w:type="dxa"/>
              <w:right w:w="0" w:type="dxa"/>
            </w:tcMar>
          </w:tcPr>
          <w:p w14:paraId="39527400" w14:textId="77777777" w:rsidR="001E40FE" w:rsidRPr="00565F77" w:rsidRDefault="001E40FE" w:rsidP="00D674E5">
            <w:pPr>
              <w:pStyle w:val="Bildunterschriftbold"/>
            </w:pPr>
            <w:r>
              <w:t>Contractor</w:t>
            </w:r>
          </w:p>
          <w:p w14:paraId="2B38F513" w14:textId="1DBAC751" w:rsidR="001E40FE" w:rsidRPr="00565F77" w:rsidRDefault="00DD7CAB" w:rsidP="00AD1E1E">
            <w:pPr>
              <w:pStyle w:val="Bildunterschriftlight"/>
            </w:pPr>
            <w:r>
              <w:t>ARGE (PORR/</w:t>
            </w:r>
            <w:proofErr w:type="spellStart"/>
            <w:r>
              <w:t>Strabag</w:t>
            </w:r>
            <w:proofErr w:type="spellEnd"/>
            <w:r>
              <w:t>)</w:t>
            </w:r>
          </w:p>
          <w:p w14:paraId="431EA1E9" w14:textId="77777777" w:rsidR="001E40FE" w:rsidRPr="00565F77" w:rsidRDefault="001E40FE" w:rsidP="00D674E5">
            <w:pPr>
              <w:pStyle w:val="Bildunterschriftbold"/>
            </w:pPr>
            <w:r>
              <w:t>Project coordination</w:t>
            </w:r>
          </w:p>
          <w:p w14:paraId="0936307A" w14:textId="77777777" w:rsidR="001E40FE" w:rsidRPr="00D16057" w:rsidRDefault="001E40FE" w:rsidP="00AD1E1E">
            <w:pPr>
              <w:pStyle w:val="Bildunterschriftlight"/>
            </w:pPr>
            <w:r>
              <w:t>PERI Austria</w:t>
            </w:r>
          </w:p>
        </w:tc>
      </w:tr>
    </w:tbl>
    <w:p w14:paraId="1EDA9E0E" w14:textId="77777777" w:rsidR="00B97441" w:rsidRPr="00D16057" w:rsidRDefault="00B97441" w:rsidP="00EB5A78"/>
    <w:sectPr w:rsidR="00B97441" w:rsidRPr="00D16057" w:rsidSect="00FE5314">
      <w:headerReference w:type="default" r:id="rId12"/>
      <w:footerReference w:type="default" r:id="rId13"/>
      <w:pgSz w:w="11906" w:h="16838" w:code="9"/>
      <w:pgMar w:top="2722" w:right="3402"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2087F" w14:textId="77777777" w:rsidR="00370A6C" w:rsidRDefault="00370A6C" w:rsidP="00EB5A78">
      <w:r>
        <w:separator/>
      </w:r>
    </w:p>
    <w:p w14:paraId="224CA257" w14:textId="77777777" w:rsidR="00370A6C" w:rsidRDefault="00370A6C" w:rsidP="00EB5A78"/>
  </w:endnote>
  <w:endnote w:type="continuationSeparator" w:id="0">
    <w:p w14:paraId="2941E401" w14:textId="77777777" w:rsidR="00370A6C" w:rsidRDefault="00370A6C" w:rsidP="00EB5A78">
      <w:r>
        <w:continuationSeparator/>
      </w:r>
    </w:p>
    <w:p w14:paraId="5FD4C238" w14:textId="77777777" w:rsidR="00370A6C" w:rsidRDefault="00370A6C" w:rsidP="00EB5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22E63" w14:textId="77777777" w:rsidR="005B5376" w:rsidRPr="00E72A3D" w:rsidRDefault="005B5376" w:rsidP="005B5376">
    <w:pPr>
      <w:pStyle w:val="Adressebold"/>
      <w:framePr w:h="2835" w:hRule="exact" w:hSpace="0" w:wrap="around" w:hAnchor="page" w:x="8641" w:y="12586"/>
    </w:pPr>
    <w:r>
      <w:t>PERI GmbH</w:t>
    </w:r>
  </w:p>
  <w:p w14:paraId="57CA8652" w14:textId="77777777" w:rsidR="005B5376" w:rsidRPr="007E5E51" w:rsidRDefault="005B5376" w:rsidP="005B5376">
    <w:pPr>
      <w:pStyle w:val="Adressebold"/>
      <w:framePr w:h="2835" w:hRule="exact" w:hSpace="0" w:wrap="around" w:hAnchor="page" w:x="8641" w:y="12586"/>
    </w:pPr>
    <w:r>
      <w:t>Formwork Scaffolding Engineering</w:t>
    </w:r>
  </w:p>
  <w:p w14:paraId="0F8FE962" w14:textId="77777777" w:rsidR="005B5376" w:rsidRDefault="005B5376" w:rsidP="005B5376">
    <w:pPr>
      <w:pStyle w:val="Adressebold"/>
      <w:framePr w:h="2835" w:hRule="exact" w:hSpace="0" w:wrap="around" w:hAnchor="page" w:x="8641" w:y="12586"/>
      <w:rPr>
        <w:b w:val="0"/>
      </w:rPr>
    </w:pPr>
  </w:p>
  <w:p w14:paraId="1EF9162B" w14:textId="77777777" w:rsidR="005B5376" w:rsidRPr="0098407D" w:rsidRDefault="005B5376" w:rsidP="005B5376">
    <w:pPr>
      <w:pStyle w:val="Adressebold"/>
      <w:framePr w:h="2835" w:hRule="exact" w:hSpace="0" w:wrap="around" w:hAnchor="page" w:x="8641" w:y="12586"/>
    </w:pPr>
    <w:r>
      <w:t>Contact</w:t>
    </w:r>
  </w:p>
  <w:p w14:paraId="54D420A0" w14:textId="77777777" w:rsidR="005B5376" w:rsidRDefault="005A2C1A" w:rsidP="005B5376">
    <w:pPr>
      <w:pStyle w:val="Adressebold"/>
      <w:framePr w:h="2835" w:hRule="exact" w:hSpace="0" w:wrap="around" w:hAnchor="page" w:x="8641" w:y="12586"/>
      <w:rPr>
        <w:b w:val="0"/>
      </w:rPr>
    </w:pPr>
    <w:r>
      <w:rPr>
        <w:b w:val="0"/>
      </w:rPr>
      <w:t xml:space="preserve">Tanja </w:t>
    </w:r>
    <w:proofErr w:type="spellStart"/>
    <w:r>
      <w:rPr>
        <w:b w:val="0"/>
      </w:rPr>
      <w:t>Häuptle</w:t>
    </w:r>
    <w:proofErr w:type="spellEnd"/>
  </w:p>
  <w:p w14:paraId="68F46C05" w14:textId="77777777" w:rsidR="005B5376" w:rsidRDefault="00160F28" w:rsidP="005B5376">
    <w:pPr>
      <w:pStyle w:val="Adressebold"/>
      <w:framePr w:h="2835" w:hRule="exact" w:hSpace="0" w:wrap="around" w:hAnchor="page" w:x="8641" w:y="12586"/>
      <w:rPr>
        <w:b w:val="0"/>
      </w:rPr>
    </w:pPr>
    <w:r>
      <w:rPr>
        <w:b w:val="0"/>
      </w:rPr>
      <w:t>Phone</w:t>
    </w:r>
    <w:r>
      <w:rPr>
        <w:b w:val="0"/>
      </w:rPr>
      <w:tab/>
      <w:t>+49 (0) 7309 950 1173</w:t>
    </w:r>
  </w:p>
  <w:p w14:paraId="03E0EA1D" w14:textId="77777777" w:rsidR="005B5376" w:rsidRDefault="00160F28" w:rsidP="005B5376">
    <w:pPr>
      <w:pStyle w:val="Adressebold"/>
      <w:framePr w:h="2835" w:hRule="exact" w:hSpace="0" w:wrap="around" w:hAnchor="page" w:x="8641" w:y="12586"/>
      <w:rPr>
        <w:b w:val="0"/>
      </w:rPr>
    </w:pPr>
    <w:r>
      <w:rPr>
        <w:b w:val="0"/>
      </w:rPr>
      <w:t>Fax</w:t>
    </w:r>
    <w:r>
      <w:rPr>
        <w:b w:val="0"/>
      </w:rPr>
      <w:tab/>
      <w:t>+49 (0) 7309 951 1173</w:t>
    </w:r>
  </w:p>
  <w:p w14:paraId="66821C65" w14:textId="77777777" w:rsidR="005B5376" w:rsidRDefault="005A2C1A" w:rsidP="005B5376">
    <w:pPr>
      <w:pStyle w:val="Adressebold"/>
      <w:framePr w:h="2835" w:hRule="exact" w:hSpace="0" w:wrap="around" w:hAnchor="page" w:x="8641" w:y="12586"/>
      <w:rPr>
        <w:b w:val="0"/>
      </w:rPr>
    </w:pPr>
    <w:r>
      <w:rPr>
        <w:b w:val="0"/>
      </w:rPr>
      <w:t>Tanja.haeuptle@peri.de</w:t>
    </w:r>
  </w:p>
  <w:p w14:paraId="288841EF" w14:textId="77777777" w:rsidR="005B5376" w:rsidRDefault="005B5376" w:rsidP="005B5376">
    <w:pPr>
      <w:pStyle w:val="Adressebold"/>
      <w:framePr w:h="2835" w:hRule="exact" w:hSpace="0" w:wrap="around" w:hAnchor="page" w:x="8641" w:y="12586"/>
      <w:rPr>
        <w:b w:val="0"/>
      </w:rPr>
    </w:pPr>
  </w:p>
  <w:p w14:paraId="0E562F3D" w14:textId="77777777" w:rsidR="00CE3453" w:rsidRDefault="00CE3453" w:rsidP="005B5376">
    <w:pPr>
      <w:pStyle w:val="Adressebold"/>
      <w:framePr w:h="2835" w:hRule="exact" w:hSpace="0" w:wrap="around" w:hAnchor="page" w:x="8641" w:y="12586"/>
      <w:rPr>
        <w:b w:val="0"/>
      </w:rPr>
    </w:pPr>
  </w:p>
  <w:p w14:paraId="1B5F0098" w14:textId="77777777" w:rsidR="005B5376" w:rsidRPr="00CE3453" w:rsidRDefault="00CE3453" w:rsidP="00CE3453">
    <w:pPr>
      <w:framePr w:w="2835" w:h="2835" w:hRule="exact" w:wrap="around" w:vAnchor="page" w:hAnchor="page" w:x="8641" w:y="12586"/>
      <w:rPr>
        <w:b/>
        <w:sz w:val="15"/>
        <w:szCs w:val="15"/>
      </w:rPr>
    </w:pPr>
    <w:r>
      <w:rPr>
        <w:noProof/>
        <w:color w:val="000000"/>
        <w:lang w:val="de-DE" w:eastAsia="de-DE"/>
      </w:rPr>
      <w:drawing>
        <wp:inline distT="0" distB="0" distL="0" distR="0" wp14:anchorId="202B4F6C" wp14:editId="3892A43F">
          <wp:extent cx="181610" cy="199390"/>
          <wp:effectExtent l="0" t="0" r="8890" b="0"/>
          <wp:docPr id="13" name="Grafik 13" descr="cid:image001.gif@01D29EFA.1400B910">
            <a:hlinkClick xmlns:a="http://schemas.openxmlformats.org/drawingml/2006/main" r:id="rId1" tooltip="PERI on 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cid:image001.gif@01D29EFA.1400B910">
                    <a:hlinkClick r:id="rId1" tooltip="PERI on LinkedIn"/>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610" cy="199390"/>
                  </a:xfrm>
                  <a:prstGeom prst="rect">
                    <a:avLst/>
                  </a:prstGeom>
                  <a:noFill/>
                  <a:ln>
                    <a:noFill/>
                  </a:ln>
                </pic:spPr>
              </pic:pic>
            </a:graphicData>
          </a:graphic>
        </wp:inline>
      </w:drawing>
    </w:r>
    <w:r>
      <w:rPr>
        <w:noProof/>
        <w:color w:val="000000"/>
        <w:lang w:val="de-DE" w:eastAsia="de-DE"/>
      </w:rPr>
      <w:drawing>
        <wp:inline distT="0" distB="0" distL="0" distR="0" wp14:anchorId="6CB3DFB3" wp14:editId="4B99B58F">
          <wp:extent cx="181610" cy="199390"/>
          <wp:effectExtent l="0" t="0" r="8890" b="0"/>
          <wp:docPr id="12" name="Grafik 12" descr="cid:image002.gif@01D29EFA.1400B910">
            <a:hlinkClick xmlns:a="http://schemas.openxmlformats.org/drawingml/2006/main" r:id="rId3" tooltip="PERI on 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cid:image002.gif@01D29EFA.1400B910">
                    <a:hlinkClick r:id="rId3" tooltip="PERI on Facebook"/>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610" cy="199390"/>
                  </a:xfrm>
                  <a:prstGeom prst="rect">
                    <a:avLst/>
                  </a:prstGeom>
                  <a:noFill/>
                  <a:ln>
                    <a:noFill/>
                  </a:ln>
                </pic:spPr>
              </pic:pic>
            </a:graphicData>
          </a:graphic>
        </wp:inline>
      </w:drawing>
    </w:r>
    <w:r>
      <w:rPr>
        <w:noProof/>
        <w:color w:val="000000"/>
        <w:lang w:val="de-DE" w:eastAsia="de-DE"/>
      </w:rPr>
      <w:drawing>
        <wp:inline distT="0" distB="0" distL="0" distR="0" wp14:anchorId="62D71F91" wp14:editId="71E2D7BD">
          <wp:extent cx="181610" cy="199390"/>
          <wp:effectExtent l="0" t="0" r="8890" b="0"/>
          <wp:docPr id="11" name="Grafik 11" descr="cid:image003.gif@01D29EFA.1400B910">
            <a:hlinkClick xmlns:a="http://schemas.openxmlformats.org/drawingml/2006/main" r:id="rId5" tooltip="PERI on 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cid:image003.gif@01D29EFA.1400B910">
                    <a:hlinkClick r:id="rId5" tooltip="PERI on Twitter"/>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610" cy="199390"/>
                  </a:xfrm>
                  <a:prstGeom prst="rect">
                    <a:avLst/>
                  </a:prstGeom>
                  <a:noFill/>
                  <a:ln>
                    <a:noFill/>
                  </a:ln>
                </pic:spPr>
              </pic:pic>
            </a:graphicData>
          </a:graphic>
        </wp:inline>
      </w:drawing>
    </w:r>
    <w:r>
      <w:rPr>
        <w:noProof/>
        <w:color w:val="000000"/>
        <w:lang w:val="de-DE" w:eastAsia="de-DE"/>
      </w:rPr>
      <w:drawing>
        <wp:inline distT="0" distB="0" distL="0" distR="0" wp14:anchorId="267B543D" wp14:editId="645B7542">
          <wp:extent cx="181610" cy="199390"/>
          <wp:effectExtent l="0" t="0" r="8890" b="0"/>
          <wp:docPr id="10" name="Grafik 10" descr="cid:image004.gif@01D29EFA.1400B910">
            <a:hlinkClick xmlns:a="http://schemas.openxmlformats.org/drawingml/2006/main" r:id="rId7" tooltip="PERI on 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cid:image004.gif@01D29EFA.1400B910">
                    <a:hlinkClick r:id="rId7" tooltip="PERI on YouTube"/>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10" cy="199390"/>
                  </a:xfrm>
                  <a:prstGeom prst="rect">
                    <a:avLst/>
                  </a:prstGeom>
                  <a:noFill/>
                  <a:ln>
                    <a:noFill/>
                  </a:ln>
                </pic:spPr>
              </pic:pic>
            </a:graphicData>
          </a:graphic>
        </wp:inline>
      </w:drawing>
    </w:r>
    <w:r>
      <w:rPr>
        <w:noProof/>
        <w:color w:val="000000"/>
        <w:lang w:val="de-DE" w:eastAsia="de-DE"/>
      </w:rPr>
      <w:drawing>
        <wp:inline distT="0" distB="0" distL="0" distR="0" wp14:anchorId="23AE61A9" wp14:editId="73E54D75">
          <wp:extent cx="181610" cy="199390"/>
          <wp:effectExtent l="0" t="0" r="8890" b="0"/>
          <wp:docPr id="9" name="Grafik 9" descr="cid:image005.gif@01D29EFA.1400B910">
            <a:hlinkClick xmlns:a="http://schemas.openxmlformats.org/drawingml/2006/main" r:id="rId9" tooltip="PERI on 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cid:image005.gif@01D29EFA.1400B910">
                    <a:hlinkClick r:id="rId9" tooltip="PERI on Instagram"/>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610" cy="199390"/>
                  </a:xfrm>
                  <a:prstGeom prst="rect">
                    <a:avLst/>
                  </a:prstGeom>
                  <a:noFill/>
                  <a:ln>
                    <a:noFill/>
                  </a:ln>
                </pic:spPr>
              </pic:pic>
            </a:graphicData>
          </a:graphic>
        </wp:inline>
      </w:drawing>
    </w:r>
    <w:r>
      <w:rPr>
        <w:noProof/>
        <w:color w:val="000000"/>
        <w:lang w:val="de-DE" w:eastAsia="de-DE"/>
      </w:rPr>
      <w:drawing>
        <wp:inline distT="0" distB="0" distL="0" distR="0" wp14:anchorId="3ED98321" wp14:editId="39886C1E">
          <wp:extent cx="181610" cy="199390"/>
          <wp:effectExtent l="0" t="0" r="8890" b="0"/>
          <wp:docPr id="7" name="Grafik 7" descr="cid:image007.gif@01D29EFA.1400B910">
            <a:hlinkClick xmlns:a="http://schemas.openxmlformats.org/drawingml/2006/main" r:id="rId11" tooltip="PERI on X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cid:image007.gif@01D29EFA.1400B910">
                    <a:hlinkClick r:id="rId11" tooltip="PERI on XING"/>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610" cy="199390"/>
                  </a:xfrm>
                  <a:prstGeom prst="rect">
                    <a:avLst/>
                  </a:prstGeom>
                  <a:noFill/>
                  <a:ln>
                    <a:noFill/>
                  </a:ln>
                </pic:spPr>
              </pic:pic>
            </a:graphicData>
          </a:graphic>
        </wp:inline>
      </w:drawing>
    </w:r>
    <w:r>
      <w:t xml:space="preserve"> </w:t>
    </w:r>
    <w:r>
      <w:rPr>
        <w:sz w:val="15"/>
        <w:szCs w:val="15"/>
      </w:rPr>
      <w:t>https://www.peri.com/en/company/press.html</w:t>
    </w:r>
  </w:p>
  <w:p w14:paraId="26A67AFF" w14:textId="46363C98" w:rsidR="00884570" w:rsidRDefault="00884570" w:rsidP="00AD1E1E">
    <w:pPr>
      <w:pStyle w:val="Bildunterschriftlight"/>
    </w:pPr>
    <w:r>
      <w:t xml:space="preserve">Page </w:t>
    </w:r>
    <w:r w:rsidRPr="00E24F4B">
      <w:fldChar w:fldCharType="begin"/>
    </w:r>
    <w:r w:rsidRPr="00C6318D">
      <w:instrText xml:space="preserve"> PAGE </w:instrText>
    </w:r>
    <w:r w:rsidRPr="00E24F4B">
      <w:fldChar w:fldCharType="separate"/>
    </w:r>
    <w:r w:rsidR="00AB0705">
      <w:rPr>
        <w:noProof/>
      </w:rPr>
      <w:t>2</w:t>
    </w:r>
    <w:r w:rsidRPr="00E24F4B">
      <w:fldChar w:fldCharType="end"/>
    </w:r>
    <w:r>
      <w:t xml:space="preserve"> | </w:t>
    </w:r>
    <w:r w:rsidR="00D674E5">
      <w:fldChar w:fldCharType="begin"/>
    </w:r>
    <w:r w:rsidR="00D674E5">
      <w:instrText xml:space="preserve"> NUMPAGES </w:instrText>
    </w:r>
    <w:r w:rsidR="00D674E5">
      <w:fldChar w:fldCharType="separate"/>
    </w:r>
    <w:r w:rsidR="00AB0705">
      <w:rPr>
        <w:noProof/>
      </w:rPr>
      <w:t>4</w:t>
    </w:r>
    <w:r w:rsidR="00D674E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3A95F" w14:textId="77777777" w:rsidR="00370A6C" w:rsidRDefault="00370A6C" w:rsidP="00EB5A78">
      <w:r>
        <w:separator/>
      </w:r>
    </w:p>
    <w:p w14:paraId="03055C56" w14:textId="77777777" w:rsidR="00370A6C" w:rsidRDefault="00370A6C" w:rsidP="00EB5A78"/>
  </w:footnote>
  <w:footnote w:type="continuationSeparator" w:id="0">
    <w:p w14:paraId="357A99CF" w14:textId="77777777" w:rsidR="00370A6C" w:rsidRDefault="00370A6C" w:rsidP="00EB5A78">
      <w:r>
        <w:continuationSeparator/>
      </w:r>
    </w:p>
    <w:p w14:paraId="3B6B576B" w14:textId="77777777" w:rsidR="00370A6C" w:rsidRDefault="00370A6C" w:rsidP="00EB5A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D067E" w14:textId="3770F4F7" w:rsidR="00884570" w:rsidRPr="001033A2" w:rsidRDefault="00097F9F" w:rsidP="001033A2">
    <w:pPr>
      <w:pStyle w:val="Kopfzeile1"/>
    </w:pPr>
    <w:r>
      <w:rPr>
        <w:noProof/>
        <w:lang w:val="de-DE" w:eastAsia="de-DE"/>
      </w:rPr>
      <w:drawing>
        <wp:anchor distT="0" distB="0" distL="114935" distR="114935" simplePos="0" relativeHeight="251657728" behindDoc="0" locked="0" layoutInCell="1" allowOverlap="1" wp14:anchorId="2D2FF1E4" wp14:editId="235F757F">
          <wp:simplePos x="0" y="0"/>
          <wp:positionH relativeFrom="page">
            <wp:posOffset>5566410</wp:posOffset>
          </wp:positionH>
          <wp:positionV relativeFrom="page">
            <wp:posOffset>431165</wp:posOffset>
          </wp:positionV>
          <wp:extent cx="1077595" cy="543560"/>
          <wp:effectExtent l="0" t="0" r="0" b="0"/>
          <wp:wrapSquare wrapText="bothSides"/>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595" cy="543560"/>
                  </a:xfrm>
                  <a:prstGeom prst="rect">
                    <a:avLst/>
                  </a:prstGeom>
                  <a:noFill/>
                  <a:ln>
                    <a:noFill/>
                  </a:ln>
                </pic:spPr>
              </pic:pic>
            </a:graphicData>
          </a:graphic>
          <wp14:sizeRelH relativeFrom="page">
            <wp14:pctWidth>0</wp14:pctWidth>
          </wp14:sizeRelH>
          <wp14:sizeRelV relativeFrom="page">
            <wp14:pctHeight>0</wp14:pctHeight>
          </wp14:sizeRelV>
        </wp:anchor>
      </w:drawing>
    </w:r>
    <w:fldSimple w:instr=" TITLE   \* MERGEFORMAT ">
      <w:r w:rsidR="0059003C">
        <w:t>Press release</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4E69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8EE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2498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A85600"/>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1936978C"/>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85EA42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EA8379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56B5D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3220D6"/>
    <w:multiLevelType w:val="hybridMultilevel"/>
    <w:tmpl w:val="96803328"/>
    <w:lvl w:ilvl="0" w:tplc="04070001">
      <w:start w:val="10"/>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7A3D88"/>
    <w:multiLevelType w:val="hybridMultilevel"/>
    <w:tmpl w:val="5E9ABD50"/>
    <w:lvl w:ilvl="0" w:tplc="50F42AB8">
      <w:start w:val="2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610169"/>
    <w:multiLevelType w:val="hybridMultilevel"/>
    <w:tmpl w:val="7AD6D72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6EF325E"/>
    <w:multiLevelType w:val="hybridMultilevel"/>
    <w:tmpl w:val="CE426B24"/>
    <w:lvl w:ilvl="0" w:tplc="A88ED9B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827914"/>
    <w:multiLevelType w:val="hybridMultilevel"/>
    <w:tmpl w:val="4C84D04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71DF577D"/>
    <w:multiLevelType w:val="hybridMultilevel"/>
    <w:tmpl w:val="327AF61A"/>
    <w:lvl w:ilvl="0" w:tplc="94F86160">
      <w:numFmt w:val="bullet"/>
      <w:lvlText w:val=""/>
      <w:lvlJc w:val="left"/>
      <w:pPr>
        <w:ind w:left="720" w:hanging="360"/>
      </w:pPr>
      <w:rPr>
        <w:rFonts w:ascii="Symbol" w:eastAsia="Times New Roman"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1"/>
  </w:num>
  <w:num w:numId="6">
    <w:abstractNumId w:val="2"/>
  </w:num>
  <w:num w:numId="7">
    <w:abstractNumId w:val="3"/>
  </w:num>
  <w:num w:numId="8">
    <w:abstractNumId w:val="6"/>
  </w:num>
  <w:num w:numId="9">
    <w:abstractNumId w:val="13"/>
  </w:num>
  <w:num w:numId="10">
    <w:abstractNumId w:val="9"/>
  </w:num>
  <w:num w:numId="11">
    <w:abstractNumId w:val="8"/>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de-DE"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de-DE"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7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BA"/>
    <w:rsid w:val="000002A0"/>
    <w:rsid w:val="00000A10"/>
    <w:rsid w:val="00002872"/>
    <w:rsid w:val="00003903"/>
    <w:rsid w:val="00011B22"/>
    <w:rsid w:val="00011D5E"/>
    <w:rsid w:val="00014709"/>
    <w:rsid w:val="00016212"/>
    <w:rsid w:val="000231E0"/>
    <w:rsid w:val="00023464"/>
    <w:rsid w:val="0002393F"/>
    <w:rsid w:val="000260D3"/>
    <w:rsid w:val="000262E3"/>
    <w:rsid w:val="00032CAE"/>
    <w:rsid w:val="00034793"/>
    <w:rsid w:val="00037579"/>
    <w:rsid w:val="00040C2C"/>
    <w:rsid w:val="00040CDF"/>
    <w:rsid w:val="000412C0"/>
    <w:rsid w:val="00041D7D"/>
    <w:rsid w:val="0004232D"/>
    <w:rsid w:val="000425BC"/>
    <w:rsid w:val="000447D8"/>
    <w:rsid w:val="00047726"/>
    <w:rsid w:val="00047DFA"/>
    <w:rsid w:val="00052A36"/>
    <w:rsid w:val="00054B30"/>
    <w:rsid w:val="000578B7"/>
    <w:rsid w:val="000601F1"/>
    <w:rsid w:val="00061863"/>
    <w:rsid w:val="00061AC4"/>
    <w:rsid w:val="000645B4"/>
    <w:rsid w:val="00064BAB"/>
    <w:rsid w:val="000671EB"/>
    <w:rsid w:val="00067E03"/>
    <w:rsid w:val="000718FB"/>
    <w:rsid w:val="00073340"/>
    <w:rsid w:val="00075C30"/>
    <w:rsid w:val="000779A8"/>
    <w:rsid w:val="000836DE"/>
    <w:rsid w:val="000873E2"/>
    <w:rsid w:val="0009506D"/>
    <w:rsid w:val="00096965"/>
    <w:rsid w:val="000977D7"/>
    <w:rsid w:val="00097F9F"/>
    <w:rsid w:val="000A0FE5"/>
    <w:rsid w:val="000A140B"/>
    <w:rsid w:val="000A2BA1"/>
    <w:rsid w:val="000A4796"/>
    <w:rsid w:val="000B1DED"/>
    <w:rsid w:val="000B5BAB"/>
    <w:rsid w:val="000C0877"/>
    <w:rsid w:val="000C0C02"/>
    <w:rsid w:val="000C49C5"/>
    <w:rsid w:val="000C613F"/>
    <w:rsid w:val="000C789A"/>
    <w:rsid w:val="000D69F0"/>
    <w:rsid w:val="000D7C86"/>
    <w:rsid w:val="000D7F90"/>
    <w:rsid w:val="000E1087"/>
    <w:rsid w:val="000E153E"/>
    <w:rsid w:val="000E3682"/>
    <w:rsid w:val="000E4F0D"/>
    <w:rsid w:val="000E753C"/>
    <w:rsid w:val="000E7966"/>
    <w:rsid w:val="000F4685"/>
    <w:rsid w:val="000F64D8"/>
    <w:rsid w:val="000F707D"/>
    <w:rsid w:val="00103133"/>
    <w:rsid w:val="00103214"/>
    <w:rsid w:val="001033A2"/>
    <w:rsid w:val="0010539B"/>
    <w:rsid w:val="00105BEC"/>
    <w:rsid w:val="001066D6"/>
    <w:rsid w:val="00106A7E"/>
    <w:rsid w:val="00107723"/>
    <w:rsid w:val="001106A5"/>
    <w:rsid w:val="00112CA1"/>
    <w:rsid w:val="00112EE8"/>
    <w:rsid w:val="001133DE"/>
    <w:rsid w:val="00113827"/>
    <w:rsid w:val="001139A4"/>
    <w:rsid w:val="001154FC"/>
    <w:rsid w:val="0011612A"/>
    <w:rsid w:val="00117506"/>
    <w:rsid w:val="00120481"/>
    <w:rsid w:val="00126054"/>
    <w:rsid w:val="001261A1"/>
    <w:rsid w:val="00137427"/>
    <w:rsid w:val="00137644"/>
    <w:rsid w:val="001379EA"/>
    <w:rsid w:val="0014066A"/>
    <w:rsid w:val="00142B9A"/>
    <w:rsid w:val="00143F02"/>
    <w:rsid w:val="001479CF"/>
    <w:rsid w:val="00151267"/>
    <w:rsid w:val="00153324"/>
    <w:rsid w:val="00154CF4"/>
    <w:rsid w:val="00156A9C"/>
    <w:rsid w:val="00157516"/>
    <w:rsid w:val="00160F28"/>
    <w:rsid w:val="001619C5"/>
    <w:rsid w:val="00161C17"/>
    <w:rsid w:val="00171A62"/>
    <w:rsid w:val="00174950"/>
    <w:rsid w:val="001751BA"/>
    <w:rsid w:val="001756AE"/>
    <w:rsid w:val="00180429"/>
    <w:rsid w:val="00181AE6"/>
    <w:rsid w:val="001820B6"/>
    <w:rsid w:val="001835C3"/>
    <w:rsid w:val="001844F5"/>
    <w:rsid w:val="001871E2"/>
    <w:rsid w:val="0019135E"/>
    <w:rsid w:val="00191CB6"/>
    <w:rsid w:val="001921B8"/>
    <w:rsid w:val="0019291F"/>
    <w:rsid w:val="001A0D3B"/>
    <w:rsid w:val="001A5530"/>
    <w:rsid w:val="001A61E5"/>
    <w:rsid w:val="001A70BE"/>
    <w:rsid w:val="001B0DA0"/>
    <w:rsid w:val="001B4D12"/>
    <w:rsid w:val="001B5DC3"/>
    <w:rsid w:val="001B6928"/>
    <w:rsid w:val="001B714C"/>
    <w:rsid w:val="001B74BE"/>
    <w:rsid w:val="001B7A60"/>
    <w:rsid w:val="001C257A"/>
    <w:rsid w:val="001C3EC6"/>
    <w:rsid w:val="001C7BC1"/>
    <w:rsid w:val="001D18BF"/>
    <w:rsid w:val="001D4FB1"/>
    <w:rsid w:val="001D6D55"/>
    <w:rsid w:val="001D725D"/>
    <w:rsid w:val="001E029A"/>
    <w:rsid w:val="001E2DFD"/>
    <w:rsid w:val="001E360A"/>
    <w:rsid w:val="001E367F"/>
    <w:rsid w:val="001E40FE"/>
    <w:rsid w:val="001E6161"/>
    <w:rsid w:val="001E7F08"/>
    <w:rsid w:val="001F2B8B"/>
    <w:rsid w:val="001F3E53"/>
    <w:rsid w:val="001F60EE"/>
    <w:rsid w:val="001F626B"/>
    <w:rsid w:val="001F7C32"/>
    <w:rsid w:val="001F7F35"/>
    <w:rsid w:val="002022D9"/>
    <w:rsid w:val="0020478D"/>
    <w:rsid w:val="00207287"/>
    <w:rsid w:val="00210816"/>
    <w:rsid w:val="00210A0F"/>
    <w:rsid w:val="00215F12"/>
    <w:rsid w:val="002163DA"/>
    <w:rsid w:val="00222374"/>
    <w:rsid w:val="00224794"/>
    <w:rsid w:val="002250C8"/>
    <w:rsid w:val="002250DB"/>
    <w:rsid w:val="00227FBA"/>
    <w:rsid w:val="00235971"/>
    <w:rsid w:val="00235F2A"/>
    <w:rsid w:val="0023648B"/>
    <w:rsid w:val="002403C7"/>
    <w:rsid w:val="002416B3"/>
    <w:rsid w:val="00242C2D"/>
    <w:rsid w:val="002434E9"/>
    <w:rsid w:val="00245305"/>
    <w:rsid w:val="002475E8"/>
    <w:rsid w:val="00260187"/>
    <w:rsid w:val="002615B1"/>
    <w:rsid w:val="002637C5"/>
    <w:rsid w:val="00263C5A"/>
    <w:rsid w:val="00264CD6"/>
    <w:rsid w:val="00270222"/>
    <w:rsid w:val="00270C7E"/>
    <w:rsid w:val="00271434"/>
    <w:rsid w:val="002727BB"/>
    <w:rsid w:val="00275584"/>
    <w:rsid w:val="00276C09"/>
    <w:rsid w:val="00276C6C"/>
    <w:rsid w:val="00281258"/>
    <w:rsid w:val="0028246C"/>
    <w:rsid w:val="00284BB8"/>
    <w:rsid w:val="00293A9D"/>
    <w:rsid w:val="00296C26"/>
    <w:rsid w:val="002B1961"/>
    <w:rsid w:val="002B6268"/>
    <w:rsid w:val="002B74D9"/>
    <w:rsid w:val="002C04A3"/>
    <w:rsid w:val="002C0EF8"/>
    <w:rsid w:val="002C1040"/>
    <w:rsid w:val="002C19A8"/>
    <w:rsid w:val="002C2360"/>
    <w:rsid w:val="002D0F7A"/>
    <w:rsid w:val="002D3D07"/>
    <w:rsid w:val="002D3F09"/>
    <w:rsid w:val="002E5709"/>
    <w:rsid w:val="002F2104"/>
    <w:rsid w:val="002F6362"/>
    <w:rsid w:val="002F6584"/>
    <w:rsid w:val="00300705"/>
    <w:rsid w:val="00300C67"/>
    <w:rsid w:val="00304747"/>
    <w:rsid w:val="0030698F"/>
    <w:rsid w:val="00306AB0"/>
    <w:rsid w:val="00310645"/>
    <w:rsid w:val="003124A3"/>
    <w:rsid w:val="00313FBC"/>
    <w:rsid w:val="003167AD"/>
    <w:rsid w:val="00316F38"/>
    <w:rsid w:val="00320F2A"/>
    <w:rsid w:val="003214C5"/>
    <w:rsid w:val="003221D2"/>
    <w:rsid w:val="003245E4"/>
    <w:rsid w:val="003277A5"/>
    <w:rsid w:val="00327AE6"/>
    <w:rsid w:val="00332245"/>
    <w:rsid w:val="00334726"/>
    <w:rsid w:val="0033554B"/>
    <w:rsid w:val="00335D94"/>
    <w:rsid w:val="00335E01"/>
    <w:rsid w:val="00340A0B"/>
    <w:rsid w:val="00346A3A"/>
    <w:rsid w:val="003478AC"/>
    <w:rsid w:val="003478BD"/>
    <w:rsid w:val="003520F2"/>
    <w:rsid w:val="003522C6"/>
    <w:rsid w:val="0035246F"/>
    <w:rsid w:val="00352BCE"/>
    <w:rsid w:val="00361A10"/>
    <w:rsid w:val="00361F6C"/>
    <w:rsid w:val="0036346F"/>
    <w:rsid w:val="003645BA"/>
    <w:rsid w:val="003656B4"/>
    <w:rsid w:val="0036725D"/>
    <w:rsid w:val="00367D95"/>
    <w:rsid w:val="00370A6C"/>
    <w:rsid w:val="00372129"/>
    <w:rsid w:val="003760DC"/>
    <w:rsid w:val="00380ED4"/>
    <w:rsid w:val="00382DD2"/>
    <w:rsid w:val="0038329F"/>
    <w:rsid w:val="00383490"/>
    <w:rsid w:val="003900D8"/>
    <w:rsid w:val="003904A7"/>
    <w:rsid w:val="003922ED"/>
    <w:rsid w:val="003964F2"/>
    <w:rsid w:val="003A5AA2"/>
    <w:rsid w:val="003B10A3"/>
    <w:rsid w:val="003B21DD"/>
    <w:rsid w:val="003B2ACF"/>
    <w:rsid w:val="003B339E"/>
    <w:rsid w:val="003B4B58"/>
    <w:rsid w:val="003B5093"/>
    <w:rsid w:val="003B5D65"/>
    <w:rsid w:val="003B6159"/>
    <w:rsid w:val="003C3467"/>
    <w:rsid w:val="003C4822"/>
    <w:rsid w:val="003C4F4F"/>
    <w:rsid w:val="003C59E3"/>
    <w:rsid w:val="003D05C4"/>
    <w:rsid w:val="003D3C14"/>
    <w:rsid w:val="003D3E1F"/>
    <w:rsid w:val="003E13DC"/>
    <w:rsid w:val="003E2907"/>
    <w:rsid w:val="003E436B"/>
    <w:rsid w:val="003E6623"/>
    <w:rsid w:val="003E6D5F"/>
    <w:rsid w:val="003F10CF"/>
    <w:rsid w:val="003F1FE1"/>
    <w:rsid w:val="0040061B"/>
    <w:rsid w:val="0040135F"/>
    <w:rsid w:val="00401478"/>
    <w:rsid w:val="00401951"/>
    <w:rsid w:val="0040252A"/>
    <w:rsid w:val="0040285E"/>
    <w:rsid w:val="00404554"/>
    <w:rsid w:val="00406DBB"/>
    <w:rsid w:val="00411A2D"/>
    <w:rsid w:val="00413547"/>
    <w:rsid w:val="00416D81"/>
    <w:rsid w:val="00420D84"/>
    <w:rsid w:val="004243EF"/>
    <w:rsid w:val="00426FD0"/>
    <w:rsid w:val="00430422"/>
    <w:rsid w:val="00431F98"/>
    <w:rsid w:val="00434D37"/>
    <w:rsid w:val="00435EC4"/>
    <w:rsid w:val="004406E9"/>
    <w:rsid w:val="0044094D"/>
    <w:rsid w:val="0044104B"/>
    <w:rsid w:val="004416D1"/>
    <w:rsid w:val="00446199"/>
    <w:rsid w:val="0044766C"/>
    <w:rsid w:val="00450DF0"/>
    <w:rsid w:val="00451B4F"/>
    <w:rsid w:val="00452FA6"/>
    <w:rsid w:val="0045599B"/>
    <w:rsid w:val="004626D3"/>
    <w:rsid w:val="00463D28"/>
    <w:rsid w:val="004642DA"/>
    <w:rsid w:val="00470F6C"/>
    <w:rsid w:val="004717EB"/>
    <w:rsid w:val="004815B7"/>
    <w:rsid w:val="004844D9"/>
    <w:rsid w:val="004849B2"/>
    <w:rsid w:val="00490354"/>
    <w:rsid w:val="004911C4"/>
    <w:rsid w:val="004A2469"/>
    <w:rsid w:val="004A2934"/>
    <w:rsid w:val="004A5DA6"/>
    <w:rsid w:val="004A6CEC"/>
    <w:rsid w:val="004B51EC"/>
    <w:rsid w:val="004B7D43"/>
    <w:rsid w:val="004B7F00"/>
    <w:rsid w:val="004C0009"/>
    <w:rsid w:val="004C266D"/>
    <w:rsid w:val="004C35C6"/>
    <w:rsid w:val="004D16AA"/>
    <w:rsid w:val="004D3CF8"/>
    <w:rsid w:val="004D5EA6"/>
    <w:rsid w:val="004D628E"/>
    <w:rsid w:val="004D7001"/>
    <w:rsid w:val="004E0946"/>
    <w:rsid w:val="004E3747"/>
    <w:rsid w:val="004E4E41"/>
    <w:rsid w:val="004E64B3"/>
    <w:rsid w:val="004F0A7E"/>
    <w:rsid w:val="004F1482"/>
    <w:rsid w:val="004F1F2F"/>
    <w:rsid w:val="004F6BE7"/>
    <w:rsid w:val="0050047E"/>
    <w:rsid w:val="00506FCA"/>
    <w:rsid w:val="00511306"/>
    <w:rsid w:val="00511B3C"/>
    <w:rsid w:val="005131AD"/>
    <w:rsid w:val="00513C64"/>
    <w:rsid w:val="00515523"/>
    <w:rsid w:val="00524C7F"/>
    <w:rsid w:val="00524FA1"/>
    <w:rsid w:val="00527436"/>
    <w:rsid w:val="00527EFB"/>
    <w:rsid w:val="0053193F"/>
    <w:rsid w:val="00532D6A"/>
    <w:rsid w:val="005340C6"/>
    <w:rsid w:val="00536067"/>
    <w:rsid w:val="0053662E"/>
    <w:rsid w:val="0053676C"/>
    <w:rsid w:val="00542C55"/>
    <w:rsid w:val="00545486"/>
    <w:rsid w:val="00545CEC"/>
    <w:rsid w:val="0054605E"/>
    <w:rsid w:val="00547F4E"/>
    <w:rsid w:val="00550B96"/>
    <w:rsid w:val="0055416C"/>
    <w:rsid w:val="00555E3F"/>
    <w:rsid w:val="00555E6C"/>
    <w:rsid w:val="00561566"/>
    <w:rsid w:val="005621F4"/>
    <w:rsid w:val="005635DF"/>
    <w:rsid w:val="00565F77"/>
    <w:rsid w:val="00567E2D"/>
    <w:rsid w:val="00573039"/>
    <w:rsid w:val="00573DE5"/>
    <w:rsid w:val="00575644"/>
    <w:rsid w:val="005766CF"/>
    <w:rsid w:val="00577025"/>
    <w:rsid w:val="00583A29"/>
    <w:rsid w:val="00586711"/>
    <w:rsid w:val="0059003C"/>
    <w:rsid w:val="00595FCB"/>
    <w:rsid w:val="00596949"/>
    <w:rsid w:val="005A07F5"/>
    <w:rsid w:val="005A0E53"/>
    <w:rsid w:val="005A2C1A"/>
    <w:rsid w:val="005A5051"/>
    <w:rsid w:val="005A6DDA"/>
    <w:rsid w:val="005B11A5"/>
    <w:rsid w:val="005B3BF0"/>
    <w:rsid w:val="005B5376"/>
    <w:rsid w:val="005B7CC8"/>
    <w:rsid w:val="005C103A"/>
    <w:rsid w:val="005C2D02"/>
    <w:rsid w:val="005C50BC"/>
    <w:rsid w:val="005C582A"/>
    <w:rsid w:val="005C7847"/>
    <w:rsid w:val="005D014F"/>
    <w:rsid w:val="005D0183"/>
    <w:rsid w:val="005D208A"/>
    <w:rsid w:val="005D2B73"/>
    <w:rsid w:val="005D5422"/>
    <w:rsid w:val="005D7183"/>
    <w:rsid w:val="005D75E1"/>
    <w:rsid w:val="005E0E3C"/>
    <w:rsid w:val="005E1625"/>
    <w:rsid w:val="005E4014"/>
    <w:rsid w:val="005E5E4B"/>
    <w:rsid w:val="005F071A"/>
    <w:rsid w:val="00601E1D"/>
    <w:rsid w:val="0060412C"/>
    <w:rsid w:val="006112F1"/>
    <w:rsid w:val="006143F5"/>
    <w:rsid w:val="0061799C"/>
    <w:rsid w:val="00617CA4"/>
    <w:rsid w:val="00617E41"/>
    <w:rsid w:val="00617E88"/>
    <w:rsid w:val="00620D4B"/>
    <w:rsid w:val="00621FFB"/>
    <w:rsid w:val="006330BE"/>
    <w:rsid w:val="006347F7"/>
    <w:rsid w:val="006349B5"/>
    <w:rsid w:val="00636325"/>
    <w:rsid w:val="00641377"/>
    <w:rsid w:val="00641480"/>
    <w:rsid w:val="00643A85"/>
    <w:rsid w:val="00643DF7"/>
    <w:rsid w:val="00645362"/>
    <w:rsid w:val="0065038B"/>
    <w:rsid w:val="00650A78"/>
    <w:rsid w:val="00652B3D"/>
    <w:rsid w:val="00655B4C"/>
    <w:rsid w:val="00656ED6"/>
    <w:rsid w:val="0066025F"/>
    <w:rsid w:val="00660B4A"/>
    <w:rsid w:val="00663C48"/>
    <w:rsid w:val="00666311"/>
    <w:rsid w:val="006675B2"/>
    <w:rsid w:val="00674348"/>
    <w:rsid w:val="00677044"/>
    <w:rsid w:val="00677203"/>
    <w:rsid w:val="00683723"/>
    <w:rsid w:val="00691D6E"/>
    <w:rsid w:val="006936C4"/>
    <w:rsid w:val="00694BA1"/>
    <w:rsid w:val="006A1457"/>
    <w:rsid w:val="006A17F1"/>
    <w:rsid w:val="006A2408"/>
    <w:rsid w:val="006A57CF"/>
    <w:rsid w:val="006A7D5D"/>
    <w:rsid w:val="006B128B"/>
    <w:rsid w:val="006B2D9D"/>
    <w:rsid w:val="006B301F"/>
    <w:rsid w:val="006B77AF"/>
    <w:rsid w:val="006C05F4"/>
    <w:rsid w:val="006C1978"/>
    <w:rsid w:val="006C38EC"/>
    <w:rsid w:val="006C4551"/>
    <w:rsid w:val="006C4D4C"/>
    <w:rsid w:val="006C5393"/>
    <w:rsid w:val="006C58CF"/>
    <w:rsid w:val="006C75C2"/>
    <w:rsid w:val="006C7EC2"/>
    <w:rsid w:val="006D5A9A"/>
    <w:rsid w:val="006D5D31"/>
    <w:rsid w:val="006E1431"/>
    <w:rsid w:val="006F0040"/>
    <w:rsid w:val="006F067C"/>
    <w:rsid w:val="006F0DCB"/>
    <w:rsid w:val="006F3E78"/>
    <w:rsid w:val="006F4688"/>
    <w:rsid w:val="006F7503"/>
    <w:rsid w:val="00703BE4"/>
    <w:rsid w:val="0070423E"/>
    <w:rsid w:val="00704903"/>
    <w:rsid w:val="007064F1"/>
    <w:rsid w:val="007115AC"/>
    <w:rsid w:val="00713274"/>
    <w:rsid w:val="00717ACD"/>
    <w:rsid w:val="00720639"/>
    <w:rsid w:val="0072080D"/>
    <w:rsid w:val="00721C5D"/>
    <w:rsid w:val="00722D41"/>
    <w:rsid w:val="0072454E"/>
    <w:rsid w:val="00734920"/>
    <w:rsid w:val="0073545C"/>
    <w:rsid w:val="0073779A"/>
    <w:rsid w:val="007440B1"/>
    <w:rsid w:val="00745943"/>
    <w:rsid w:val="00746CBD"/>
    <w:rsid w:val="00747365"/>
    <w:rsid w:val="007522E9"/>
    <w:rsid w:val="00754774"/>
    <w:rsid w:val="00755227"/>
    <w:rsid w:val="00761C83"/>
    <w:rsid w:val="00764F26"/>
    <w:rsid w:val="00766F8D"/>
    <w:rsid w:val="00770678"/>
    <w:rsid w:val="00770EC9"/>
    <w:rsid w:val="00770EF0"/>
    <w:rsid w:val="007740CA"/>
    <w:rsid w:val="00775B23"/>
    <w:rsid w:val="00776D5D"/>
    <w:rsid w:val="00785C75"/>
    <w:rsid w:val="00786205"/>
    <w:rsid w:val="0079119C"/>
    <w:rsid w:val="007923E1"/>
    <w:rsid w:val="007936BF"/>
    <w:rsid w:val="007947B2"/>
    <w:rsid w:val="007947DF"/>
    <w:rsid w:val="00794FF7"/>
    <w:rsid w:val="00797E53"/>
    <w:rsid w:val="007A380A"/>
    <w:rsid w:val="007A4510"/>
    <w:rsid w:val="007A4D20"/>
    <w:rsid w:val="007A4F22"/>
    <w:rsid w:val="007B02AD"/>
    <w:rsid w:val="007B1211"/>
    <w:rsid w:val="007B3D41"/>
    <w:rsid w:val="007B5284"/>
    <w:rsid w:val="007B5695"/>
    <w:rsid w:val="007B6354"/>
    <w:rsid w:val="007B7E2F"/>
    <w:rsid w:val="007C017B"/>
    <w:rsid w:val="007C01A3"/>
    <w:rsid w:val="007C1193"/>
    <w:rsid w:val="007C1D37"/>
    <w:rsid w:val="007C3305"/>
    <w:rsid w:val="007C5191"/>
    <w:rsid w:val="007C51BD"/>
    <w:rsid w:val="007C72D7"/>
    <w:rsid w:val="007D60BF"/>
    <w:rsid w:val="007D6835"/>
    <w:rsid w:val="007D744E"/>
    <w:rsid w:val="007D77C1"/>
    <w:rsid w:val="007E2209"/>
    <w:rsid w:val="007E3D04"/>
    <w:rsid w:val="007E49CC"/>
    <w:rsid w:val="007E5DE6"/>
    <w:rsid w:val="007E5E51"/>
    <w:rsid w:val="007E66DB"/>
    <w:rsid w:val="007E7566"/>
    <w:rsid w:val="007E7AF3"/>
    <w:rsid w:val="007F3A42"/>
    <w:rsid w:val="007F4309"/>
    <w:rsid w:val="007F7DEC"/>
    <w:rsid w:val="00801D5E"/>
    <w:rsid w:val="008104A0"/>
    <w:rsid w:val="00812A34"/>
    <w:rsid w:val="008158A6"/>
    <w:rsid w:val="00816199"/>
    <w:rsid w:val="008201B0"/>
    <w:rsid w:val="0082219F"/>
    <w:rsid w:val="0083067C"/>
    <w:rsid w:val="00831210"/>
    <w:rsid w:val="008346C7"/>
    <w:rsid w:val="00834A18"/>
    <w:rsid w:val="00836296"/>
    <w:rsid w:val="008401F0"/>
    <w:rsid w:val="008513B0"/>
    <w:rsid w:val="00851475"/>
    <w:rsid w:val="00852273"/>
    <w:rsid w:val="00855303"/>
    <w:rsid w:val="00856202"/>
    <w:rsid w:val="00871938"/>
    <w:rsid w:val="0087632B"/>
    <w:rsid w:val="008778E7"/>
    <w:rsid w:val="00880FB4"/>
    <w:rsid w:val="008811E7"/>
    <w:rsid w:val="00883877"/>
    <w:rsid w:val="00884570"/>
    <w:rsid w:val="008862F2"/>
    <w:rsid w:val="0088675D"/>
    <w:rsid w:val="00895D62"/>
    <w:rsid w:val="008A32F5"/>
    <w:rsid w:val="008A47F5"/>
    <w:rsid w:val="008A6972"/>
    <w:rsid w:val="008B4791"/>
    <w:rsid w:val="008B6CBE"/>
    <w:rsid w:val="008C4762"/>
    <w:rsid w:val="008C4B26"/>
    <w:rsid w:val="008C719E"/>
    <w:rsid w:val="008D07DE"/>
    <w:rsid w:val="008D0A1B"/>
    <w:rsid w:val="008D36A0"/>
    <w:rsid w:val="008D40EB"/>
    <w:rsid w:val="008D7C6E"/>
    <w:rsid w:val="008E4202"/>
    <w:rsid w:val="008E53FE"/>
    <w:rsid w:val="008E697A"/>
    <w:rsid w:val="008E6D24"/>
    <w:rsid w:val="008E78BD"/>
    <w:rsid w:val="008E79C8"/>
    <w:rsid w:val="008F349E"/>
    <w:rsid w:val="008F6484"/>
    <w:rsid w:val="008F6ACD"/>
    <w:rsid w:val="009006D4"/>
    <w:rsid w:val="00900AD6"/>
    <w:rsid w:val="00903A26"/>
    <w:rsid w:val="0090645B"/>
    <w:rsid w:val="009124E5"/>
    <w:rsid w:val="00914DC2"/>
    <w:rsid w:val="00915B16"/>
    <w:rsid w:val="00915C19"/>
    <w:rsid w:val="00923B85"/>
    <w:rsid w:val="00926D6E"/>
    <w:rsid w:val="00931C41"/>
    <w:rsid w:val="0093391C"/>
    <w:rsid w:val="00940C6D"/>
    <w:rsid w:val="009442E3"/>
    <w:rsid w:val="0094546F"/>
    <w:rsid w:val="00946EC7"/>
    <w:rsid w:val="009500C5"/>
    <w:rsid w:val="00950E9B"/>
    <w:rsid w:val="00952A51"/>
    <w:rsid w:val="00953880"/>
    <w:rsid w:val="00954C1C"/>
    <w:rsid w:val="00954F0C"/>
    <w:rsid w:val="00955A8F"/>
    <w:rsid w:val="009562CD"/>
    <w:rsid w:val="0096038F"/>
    <w:rsid w:val="00963345"/>
    <w:rsid w:val="0096547B"/>
    <w:rsid w:val="00965985"/>
    <w:rsid w:val="00967A75"/>
    <w:rsid w:val="0097082B"/>
    <w:rsid w:val="00971682"/>
    <w:rsid w:val="00971EB8"/>
    <w:rsid w:val="0097355A"/>
    <w:rsid w:val="00975135"/>
    <w:rsid w:val="00976CE2"/>
    <w:rsid w:val="00977630"/>
    <w:rsid w:val="00977937"/>
    <w:rsid w:val="0098158C"/>
    <w:rsid w:val="00982979"/>
    <w:rsid w:val="00983F0A"/>
    <w:rsid w:val="0098407D"/>
    <w:rsid w:val="00990B4A"/>
    <w:rsid w:val="00990DBB"/>
    <w:rsid w:val="009940D5"/>
    <w:rsid w:val="009A24F2"/>
    <w:rsid w:val="009A46CB"/>
    <w:rsid w:val="009A7658"/>
    <w:rsid w:val="009A7A90"/>
    <w:rsid w:val="009B013D"/>
    <w:rsid w:val="009B37B5"/>
    <w:rsid w:val="009B5158"/>
    <w:rsid w:val="009B5C5C"/>
    <w:rsid w:val="009B6114"/>
    <w:rsid w:val="009C0BD5"/>
    <w:rsid w:val="009C2434"/>
    <w:rsid w:val="009C35A7"/>
    <w:rsid w:val="009C4CD2"/>
    <w:rsid w:val="009C5FAC"/>
    <w:rsid w:val="009C6C94"/>
    <w:rsid w:val="009D19A6"/>
    <w:rsid w:val="009D6E6F"/>
    <w:rsid w:val="009D7E31"/>
    <w:rsid w:val="009E0417"/>
    <w:rsid w:val="009E0F70"/>
    <w:rsid w:val="009E4316"/>
    <w:rsid w:val="009E7D7B"/>
    <w:rsid w:val="009F30B2"/>
    <w:rsid w:val="009F43D0"/>
    <w:rsid w:val="00A019CB"/>
    <w:rsid w:val="00A02657"/>
    <w:rsid w:val="00A12998"/>
    <w:rsid w:val="00A13131"/>
    <w:rsid w:val="00A22C02"/>
    <w:rsid w:val="00A25220"/>
    <w:rsid w:val="00A274E9"/>
    <w:rsid w:val="00A32E7C"/>
    <w:rsid w:val="00A34629"/>
    <w:rsid w:val="00A362B3"/>
    <w:rsid w:val="00A46089"/>
    <w:rsid w:val="00A53C13"/>
    <w:rsid w:val="00A60F7F"/>
    <w:rsid w:val="00A62959"/>
    <w:rsid w:val="00A64942"/>
    <w:rsid w:val="00A70560"/>
    <w:rsid w:val="00A71435"/>
    <w:rsid w:val="00A714FF"/>
    <w:rsid w:val="00A75E2F"/>
    <w:rsid w:val="00A80755"/>
    <w:rsid w:val="00A827B1"/>
    <w:rsid w:val="00A84387"/>
    <w:rsid w:val="00A86963"/>
    <w:rsid w:val="00A87D6A"/>
    <w:rsid w:val="00A90B49"/>
    <w:rsid w:val="00A9112B"/>
    <w:rsid w:val="00A94209"/>
    <w:rsid w:val="00A9718D"/>
    <w:rsid w:val="00AA0153"/>
    <w:rsid w:val="00AA1518"/>
    <w:rsid w:val="00AA1A79"/>
    <w:rsid w:val="00AA42B6"/>
    <w:rsid w:val="00AA48A1"/>
    <w:rsid w:val="00AA54F9"/>
    <w:rsid w:val="00AB0705"/>
    <w:rsid w:val="00AB1725"/>
    <w:rsid w:val="00AB1C9F"/>
    <w:rsid w:val="00AB3B1B"/>
    <w:rsid w:val="00AC34CD"/>
    <w:rsid w:val="00AC3D2D"/>
    <w:rsid w:val="00AC4378"/>
    <w:rsid w:val="00AC49C9"/>
    <w:rsid w:val="00AC5C61"/>
    <w:rsid w:val="00AC7388"/>
    <w:rsid w:val="00AD0F16"/>
    <w:rsid w:val="00AD1E1E"/>
    <w:rsid w:val="00AD23EF"/>
    <w:rsid w:val="00AD28BC"/>
    <w:rsid w:val="00AD6A68"/>
    <w:rsid w:val="00AE55AA"/>
    <w:rsid w:val="00AE5C0A"/>
    <w:rsid w:val="00AE62E9"/>
    <w:rsid w:val="00AE69A1"/>
    <w:rsid w:val="00AE6F18"/>
    <w:rsid w:val="00AE712C"/>
    <w:rsid w:val="00AE7943"/>
    <w:rsid w:val="00AE7BCB"/>
    <w:rsid w:val="00AF1FA2"/>
    <w:rsid w:val="00AF2BCA"/>
    <w:rsid w:val="00AF591A"/>
    <w:rsid w:val="00AF7437"/>
    <w:rsid w:val="00B038FB"/>
    <w:rsid w:val="00B0442B"/>
    <w:rsid w:val="00B0459B"/>
    <w:rsid w:val="00B21244"/>
    <w:rsid w:val="00B22AD3"/>
    <w:rsid w:val="00B243B3"/>
    <w:rsid w:val="00B25EE9"/>
    <w:rsid w:val="00B337A0"/>
    <w:rsid w:val="00B35B9A"/>
    <w:rsid w:val="00B44891"/>
    <w:rsid w:val="00B4507F"/>
    <w:rsid w:val="00B47D6A"/>
    <w:rsid w:val="00B50F93"/>
    <w:rsid w:val="00B55A32"/>
    <w:rsid w:val="00B55FD9"/>
    <w:rsid w:val="00B609C6"/>
    <w:rsid w:val="00B65DDD"/>
    <w:rsid w:val="00B66F89"/>
    <w:rsid w:val="00B67A57"/>
    <w:rsid w:val="00B710F9"/>
    <w:rsid w:val="00B73969"/>
    <w:rsid w:val="00B75D60"/>
    <w:rsid w:val="00B768BE"/>
    <w:rsid w:val="00B8091D"/>
    <w:rsid w:val="00B82C2A"/>
    <w:rsid w:val="00B84AC8"/>
    <w:rsid w:val="00B84F8D"/>
    <w:rsid w:val="00B85A58"/>
    <w:rsid w:val="00B85BBA"/>
    <w:rsid w:val="00B92D2E"/>
    <w:rsid w:val="00B94553"/>
    <w:rsid w:val="00B95553"/>
    <w:rsid w:val="00B967B0"/>
    <w:rsid w:val="00B97441"/>
    <w:rsid w:val="00B9770D"/>
    <w:rsid w:val="00B97FE6"/>
    <w:rsid w:val="00BA2BE2"/>
    <w:rsid w:val="00BA43D3"/>
    <w:rsid w:val="00BA5C1F"/>
    <w:rsid w:val="00BB0041"/>
    <w:rsid w:val="00BB0C5F"/>
    <w:rsid w:val="00BB14FE"/>
    <w:rsid w:val="00BB1E0F"/>
    <w:rsid w:val="00BB2FFE"/>
    <w:rsid w:val="00BB6222"/>
    <w:rsid w:val="00BB7205"/>
    <w:rsid w:val="00BC159D"/>
    <w:rsid w:val="00BC2657"/>
    <w:rsid w:val="00BC60FE"/>
    <w:rsid w:val="00BD423C"/>
    <w:rsid w:val="00BD5763"/>
    <w:rsid w:val="00BE1AF4"/>
    <w:rsid w:val="00BE1C1D"/>
    <w:rsid w:val="00BE1C37"/>
    <w:rsid w:val="00BE6DE9"/>
    <w:rsid w:val="00BF1CC3"/>
    <w:rsid w:val="00BF331B"/>
    <w:rsid w:val="00BF3971"/>
    <w:rsid w:val="00BF4570"/>
    <w:rsid w:val="00BF7840"/>
    <w:rsid w:val="00BF7E9F"/>
    <w:rsid w:val="00C01167"/>
    <w:rsid w:val="00C01E8E"/>
    <w:rsid w:val="00C03D47"/>
    <w:rsid w:val="00C0538A"/>
    <w:rsid w:val="00C10855"/>
    <w:rsid w:val="00C11EA9"/>
    <w:rsid w:val="00C12A06"/>
    <w:rsid w:val="00C1598A"/>
    <w:rsid w:val="00C15E3F"/>
    <w:rsid w:val="00C176F0"/>
    <w:rsid w:val="00C2051E"/>
    <w:rsid w:val="00C225D2"/>
    <w:rsid w:val="00C22B84"/>
    <w:rsid w:val="00C23E5B"/>
    <w:rsid w:val="00C24C2C"/>
    <w:rsid w:val="00C25511"/>
    <w:rsid w:val="00C265C3"/>
    <w:rsid w:val="00C3198E"/>
    <w:rsid w:val="00C37BE5"/>
    <w:rsid w:val="00C419C2"/>
    <w:rsid w:val="00C42EA2"/>
    <w:rsid w:val="00C45A0E"/>
    <w:rsid w:val="00C5379C"/>
    <w:rsid w:val="00C53DA3"/>
    <w:rsid w:val="00C553A3"/>
    <w:rsid w:val="00C60318"/>
    <w:rsid w:val="00C62094"/>
    <w:rsid w:val="00C628F2"/>
    <w:rsid w:val="00C6318D"/>
    <w:rsid w:val="00C653B3"/>
    <w:rsid w:val="00C70C6F"/>
    <w:rsid w:val="00C70D34"/>
    <w:rsid w:val="00C70E3D"/>
    <w:rsid w:val="00C71C15"/>
    <w:rsid w:val="00C72134"/>
    <w:rsid w:val="00C730E5"/>
    <w:rsid w:val="00C74530"/>
    <w:rsid w:val="00C756B7"/>
    <w:rsid w:val="00C8681D"/>
    <w:rsid w:val="00C94555"/>
    <w:rsid w:val="00CA00AD"/>
    <w:rsid w:val="00CA3295"/>
    <w:rsid w:val="00CA360E"/>
    <w:rsid w:val="00CA6721"/>
    <w:rsid w:val="00CB4D9E"/>
    <w:rsid w:val="00CC1031"/>
    <w:rsid w:val="00CC36F7"/>
    <w:rsid w:val="00CD00BE"/>
    <w:rsid w:val="00CD425A"/>
    <w:rsid w:val="00CE2AE3"/>
    <w:rsid w:val="00CE3263"/>
    <w:rsid w:val="00CE331F"/>
    <w:rsid w:val="00CE3453"/>
    <w:rsid w:val="00CE57F2"/>
    <w:rsid w:val="00CE7412"/>
    <w:rsid w:val="00CF3DE3"/>
    <w:rsid w:val="00CF44F4"/>
    <w:rsid w:val="00CF498F"/>
    <w:rsid w:val="00CF62D6"/>
    <w:rsid w:val="00CF7D7B"/>
    <w:rsid w:val="00CF7E15"/>
    <w:rsid w:val="00CF7EDF"/>
    <w:rsid w:val="00D020A7"/>
    <w:rsid w:val="00D03873"/>
    <w:rsid w:val="00D03E72"/>
    <w:rsid w:val="00D06D43"/>
    <w:rsid w:val="00D16057"/>
    <w:rsid w:val="00D215F0"/>
    <w:rsid w:val="00D22F1A"/>
    <w:rsid w:val="00D236AF"/>
    <w:rsid w:val="00D25692"/>
    <w:rsid w:val="00D262E5"/>
    <w:rsid w:val="00D2741A"/>
    <w:rsid w:val="00D33D85"/>
    <w:rsid w:val="00D342DC"/>
    <w:rsid w:val="00D36BD4"/>
    <w:rsid w:val="00D428DC"/>
    <w:rsid w:val="00D42C5C"/>
    <w:rsid w:val="00D44FCD"/>
    <w:rsid w:val="00D4564D"/>
    <w:rsid w:val="00D5042F"/>
    <w:rsid w:val="00D50974"/>
    <w:rsid w:val="00D50E5D"/>
    <w:rsid w:val="00D51466"/>
    <w:rsid w:val="00D52D0C"/>
    <w:rsid w:val="00D54B62"/>
    <w:rsid w:val="00D569FF"/>
    <w:rsid w:val="00D57EE6"/>
    <w:rsid w:val="00D60505"/>
    <w:rsid w:val="00D61270"/>
    <w:rsid w:val="00D617FC"/>
    <w:rsid w:val="00D62D87"/>
    <w:rsid w:val="00D63040"/>
    <w:rsid w:val="00D641F8"/>
    <w:rsid w:val="00D660AD"/>
    <w:rsid w:val="00D674E5"/>
    <w:rsid w:val="00D678B8"/>
    <w:rsid w:val="00D710EF"/>
    <w:rsid w:val="00D72CC7"/>
    <w:rsid w:val="00D73D1B"/>
    <w:rsid w:val="00D779A5"/>
    <w:rsid w:val="00D8337C"/>
    <w:rsid w:val="00D847F8"/>
    <w:rsid w:val="00D84B15"/>
    <w:rsid w:val="00D87B58"/>
    <w:rsid w:val="00D87B95"/>
    <w:rsid w:val="00D960BC"/>
    <w:rsid w:val="00D9712A"/>
    <w:rsid w:val="00DA1F61"/>
    <w:rsid w:val="00DA2191"/>
    <w:rsid w:val="00DA6739"/>
    <w:rsid w:val="00DB07CD"/>
    <w:rsid w:val="00DB3708"/>
    <w:rsid w:val="00DB3749"/>
    <w:rsid w:val="00DB5091"/>
    <w:rsid w:val="00DB5854"/>
    <w:rsid w:val="00DC0A5B"/>
    <w:rsid w:val="00DC699E"/>
    <w:rsid w:val="00DD25C0"/>
    <w:rsid w:val="00DD2ADF"/>
    <w:rsid w:val="00DD426C"/>
    <w:rsid w:val="00DD5ADE"/>
    <w:rsid w:val="00DD62BF"/>
    <w:rsid w:val="00DD669C"/>
    <w:rsid w:val="00DD69BF"/>
    <w:rsid w:val="00DD6C12"/>
    <w:rsid w:val="00DD7CAB"/>
    <w:rsid w:val="00DE25CF"/>
    <w:rsid w:val="00DE5775"/>
    <w:rsid w:val="00DE57CF"/>
    <w:rsid w:val="00DE5BD4"/>
    <w:rsid w:val="00DE6835"/>
    <w:rsid w:val="00DE6E4A"/>
    <w:rsid w:val="00DE7777"/>
    <w:rsid w:val="00DE7DFC"/>
    <w:rsid w:val="00DF1979"/>
    <w:rsid w:val="00DF367B"/>
    <w:rsid w:val="00DF37DF"/>
    <w:rsid w:val="00E01D9B"/>
    <w:rsid w:val="00E04352"/>
    <w:rsid w:val="00E06EB0"/>
    <w:rsid w:val="00E07B50"/>
    <w:rsid w:val="00E125AD"/>
    <w:rsid w:val="00E12EC7"/>
    <w:rsid w:val="00E152DB"/>
    <w:rsid w:val="00E2039A"/>
    <w:rsid w:val="00E210DC"/>
    <w:rsid w:val="00E211C5"/>
    <w:rsid w:val="00E21B3B"/>
    <w:rsid w:val="00E24F4B"/>
    <w:rsid w:val="00E25C1D"/>
    <w:rsid w:val="00E25FF9"/>
    <w:rsid w:val="00E26A86"/>
    <w:rsid w:val="00E274F0"/>
    <w:rsid w:val="00E30B11"/>
    <w:rsid w:val="00E30F58"/>
    <w:rsid w:val="00E31982"/>
    <w:rsid w:val="00E33155"/>
    <w:rsid w:val="00E3351A"/>
    <w:rsid w:val="00E40E36"/>
    <w:rsid w:val="00E413D3"/>
    <w:rsid w:val="00E45049"/>
    <w:rsid w:val="00E5370C"/>
    <w:rsid w:val="00E54D58"/>
    <w:rsid w:val="00E55753"/>
    <w:rsid w:val="00E567D7"/>
    <w:rsid w:val="00E605AF"/>
    <w:rsid w:val="00E629CB"/>
    <w:rsid w:val="00E62F05"/>
    <w:rsid w:val="00E64046"/>
    <w:rsid w:val="00E65DBB"/>
    <w:rsid w:val="00E664FB"/>
    <w:rsid w:val="00E70FB4"/>
    <w:rsid w:val="00E72A3D"/>
    <w:rsid w:val="00E7325F"/>
    <w:rsid w:val="00E7356B"/>
    <w:rsid w:val="00E758F0"/>
    <w:rsid w:val="00E80E52"/>
    <w:rsid w:val="00E815D8"/>
    <w:rsid w:val="00E83211"/>
    <w:rsid w:val="00E84FAF"/>
    <w:rsid w:val="00E93FD0"/>
    <w:rsid w:val="00EA17A9"/>
    <w:rsid w:val="00EB2EE8"/>
    <w:rsid w:val="00EB50DF"/>
    <w:rsid w:val="00EB597D"/>
    <w:rsid w:val="00EB5A78"/>
    <w:rsid w:val="00EB5E46"/>
    <w:rsid w:val="00EC3CE8"/>
    <w:rsid w:val="00EC5BC8"/>
    <w:rsid w:val="00EC628A"/>
    <w:rsid w:val="00EC7375"/>
    <w:rsid w:val="00EC7EA7"/>
    <w:rsid w:val="00ED0275"/>
    <w:rsid w:val="00ED057E"/>
    <w:rsid w:val="00ED2DF1"/>
    <w:rsid w:val="00ED33CB"/>
    <w:rsid w:val="00ED5ADC"/>
    <w:rsid w:val="00ED64C9"/>
    <w:rsid w:val="00EE1391"/>
    <w:rsid w:val="00EE5BAE"/>
    <w:rsid w:val="00EE77AF"/>
    <w:rsid w:val="00EF0CB2"/>
    <w:rsid w:val="00EF49B9"/>
    <w:rsid w:val="00EF4F51"/>
    <w:rsid w:val="00EF653C"/>
    <w:rsid w:val="00F00510"/>
    <w:rsid w:val="00F01D1F"/>
    <w:rsid w:val="00F06CAD"/>
    <w:rsid w:val="00F178AD"/>
    <w:rsid w:val="00F2338E"/>
    <w:rsid w:val="00F23984"/>
    <w:rsid w:val="00F26330"/>
    <w:rsid w:val="00F27833"/>
    <w:rsid w:val="00F33ADD"/>
    <w:rsid w:val="00F40FDF"/>
    <w:rsid w:val="00F428CC"/>
    <w:rsid w:val="00F43576"/>
    <w:rsid w:val="00F43D0E"/>
    <w:rsid w:val="00F51819"/>
    <w:rsid w:val="00F5469C"/>
    <w:rsid w:val="00F62570"/>
    <w:rsid w:val="00F63F1E"/>
    <w:rsid w:val="00F6618C"/>
    <w:rsid w:val="00F662DF"/>
    <w:rsid w:val="00F6761C"/>
    <w:rsid w:val="00F717B4"/>
    <w:rsid w:val="00F72899"/>
    <w:rsid w:val="00F72C1F"/>
    <w:rsid w:val="00F73AB5"/>
    <w:rsid w:val="00F76B81"/>
    <w:rsid w:val="00F80305"/>
    <w:rsid w:val="00F80C96"/>
    <w:rsid w:val="00F82A3F"/>
    <w:rsid w:val="00F84A5A"/>
    <w:rsid w:val="00F872FF"/>
    <w:rsid w:val="00F873F3"/>
    <w:rsid w:val="00F87545"/>
    <w:rsid w:val="00F87D77"/>
    <w:rsid w:val="00F963EC"/>
    <w:rsid w:val="00F9772C"/>
    <w:rsid w:val="00FA6164"/>
    <w:rsid w:val="00FA742C"/>
    <w:rsid w:val="00FA7A62"/>
    <w:rsid w:val="00FB2987"/>
    <w:rsid w:val="00FB2F86"/>
    <w:rsid w:val="00FB3093"/>
    <w:rsid w:val="00FB620E"/>
    <w:rsid w:val="00FB6F3E"/>
    <w:rsid w:val="00FB7F79"/>
    <w:rsid w:val="00FC3A07"/>
    <w:rsid w:val="00FD4BAB"/>
    <w:rsid w:val="00FD5999"/>
    <w:rsid w:val="00FD69BD"/>
    <w:rsid w:val="00FD6A54"/>
    <w:rsid w:val="00FE158D"/>
    <w:rsid w:val="00FE5314"/>
    <w:rsid w:val="00FE740C"/>
    <w:rsid w:val="00FF0B35"/>
    <w:rsid w:val="00FF2C09"/>
    <w:rsid w:val="00FF69E0"/>
    <w:rsid w:val="00FF6E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27F3C4"/>
  <w15:chartTrackingRefBased/>
  <w15:docId w15:val="{A6CE88F2-4077-4C6E-A0B1-89ED6408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sid w:val="00755227"/>
    <w:pPr>
      <w:spacing w:after="120" w:line="360" w:lineRule="auto"/>
    </w:pPr>
    <w:rPr>
      <w:rFonts w:ascii="Arial" w:hAnsi="Arial"/>
      <w:szCs w:val="24"/>
      <w:lang w:eastAsia="ko-KR"/>
    </w:rPr>
  </w:style>
  <w:style w:type="paragraph" w:styleId="berschrift1">
    <w:name w:val="heading 1"/>
    <w:aliases w:val="Headline"/>
    <w:next w:val="berschrift2"/>
    <w:autoRedefine/>
    <w:qFormat/>
    <w:rsid w:val="000A140B"/>
    <w:pPr>
      <w:widowControl w:val="0"/>
      <w:spacing w:line="600" w:lineRule="exact"/>
      <w:outlineLvl w:val="0"/>
    </w:pPr>
    <w:rPr>
      <w:rFonts w:ascii="Arial" w:hAnsi="Arial" w:cs="Arial"/>
      <w:b/>
      <w:bCs/>
      <w:color w:val="000000"/>
      <w:kern w:val="32"/>
      <w:sz w:val="36"/>
      <w:szCs w:val="32"/>
      <w:lang w:eastAsia="ko-KR"/>
    </w:rPr>
  </w:style>
  <w:style w:type="paragraph" w:styleId="berschrift2">
    <w:name w:val="heading 2"/>
    <w:aliases w:val="Baustelle_Ort"/>
    <w:next w:val="Flietext"/>
    <w:autoRedefine/>
    <w:qFormat/>
    <w:rsid w:val="00A86963"/>
    <w:pPr>
      <w:keepNext/>
      <w:spacing w:before="240" w:after="240" w:line="360" w:lineRule="auto"/>
      <w:outlineLvl w:val="1"/>
    </w:pPr>
    <w:rPr>
      <w:rFonts w:ascii="Arial" w:hAnsi="Arial" w:cs="Arial"/>
      <w:b/>
      <w:bCs/>
      <w:iCs/>
      <w:color w:val="808080"/>
      <w:lang w:eastAsia="ko-KR"/>
    </w:rPr>
  </w:style>
  <w:style w:type="paragraph" w:styleId="berschrift3">
    <w:name w:val="heading 3"/>
    <w:aliases w:val="Subheadline"/>
    <w:next w:val="Flietext"/>
    <w:autoRedefine/>
    <w:qFormat/>
    <w:rsid w:val="00334726"/>
    <w:pPr>
      <w:keepNext/>
      <w:tabs>
        <w:tab w:val="center" w:pos="3543"/>
      </w:tabs>
      <w:spacing w:before="240" w:line="360" w:lineRule="auto"/>
      <w:outlineLvl w:val="2"/>
    </w:pPr>
    <w:rPr>
      <w:rFonts w:ascii="Arial" w:eastAsia="Times New Roman" w:hAnsi="Arial" w:cs="Arial"/>
      <w:b/>
      <w:szCs w:val="22"/>
      <w:lang w:eastAsia="ja-JP"/>
    </w:rPr>
  </w:style>
  <w:style w:type="paragraph" w:styleId="berschrift4">
    <w:name w:val="heading 4"/>
    <w:basedOn w:val="Standard"/>
    <w:next w:val="Standard"/>
    <w:link w:val="berschrift4Zchn"/>
    <w:semiHidden/>
    <w:unhideWhenUsed/>
    <w:qFormat/>
    <w:rsid w:val="00B82C2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autoRedefine/>
    <w:rsid w:val="00FB2987"/>
    <w:pPr>
      <w:shd w:val="clear" w:color="auto" w:fill="FFFFFF"/>
    </w:pPr>
    <w:rPr>
      <w:rFonts w:eastAsia="Times New Roman" w:cs="Arial"/>
      <w:szCs w:val="20"/>
      <w:lang w:eastAsia="ja-JP"/>
    </w:rPr>
  </w:style>
  <w:style w:type="paragraph" w:customStyle="1" w:styleId="Kopfzeile1">
    <w:name w:val="Kopfzeile1"/>
    <w:next w:val="Kopfzeile2"/>
    <w:autoRedefine/>
    <w:rsid w:val="005B5376"/>
    <w:rPr>
      <w:rFonts w:ascii="Arial" w:hAnsi="Arial" w:cs="Arial"/>
      <w:sz w:val="36"/>
      <w:szCs w:val="24"/>
      <w:lang w:eastAsia="ko-KR"/>
    </w:rPr>
  </w:style>
  <w:style w:type="paragraph" w:customStyle="1" w:styleId="Kopfzeile2">
    <w:name w:val="Kopfzeile2"/>
    <w:autoRedefine/>
    <w:rsid w:val="00ED0275"/>
    <w:rPr>
      <w:rFonts w:ascii="Arial" w:hAnsi="Arial"/>
      <w:color w:val="808080"/>
      <w:sz w:val="36"/>
      <w:szCs w:val="24"/>
      <w:lang w:eastAsia="ko-KR"/>
    </w:rPr>
  </w:style>
  <w:style w:type="paragraph" w:customStyle="1" w:styleId="Bildunterschriftlight">
    <w:name w:val="Bildunterschrift_light"/>
    <w:autoRedefine/>
    <w:rsid w:val="00AD1E1E"/>
    <w:pPr>
      <w:spacing w:line="360" w:lineRule="auto"/>
    </w:pPr>
    <w:rPr>
      <w:rFonts w:ascii="Arial" w:hAnsi="Arial" w:cs="Arial"/>
      <w:sz w:val="15"/>
      <w:szCs w:val="22"/>
      <w:lang w:eastAsia="ko-KR"/>
    </w:rPr>
  </w:style>
  <w:style w:type="paragraph" w:customStyle="1" w:styleId="Bildunterschriftbold">
    <w:name w:val="Bildunterschrift_bold"/>
    <w:autoRedefine/>
    <w:rsid w:val="00D674E5"/>
    <w:pPr>
      <w:spacing w:line="360" w:lineRule="auto"/>
    </w:pPr>
    <w:rPr>
      <w:rFonts w:ascii="Arial" w:hAnsi="Arial"/>
      <w:b/>
      <w:sz w:val="15"/>
      <w:szCs w:val="24"/>
      <w:lang w:eastAsia="ko-KR"/>
    </w:rPr>
  </w:style>
  <w:style w:type="paragraph" w:styleId="Fuzeile">
    <w:name w:val="footer"/>
    <w:basedOn w:val="Standard"/>
    <w:rsid w:val="00755227"/>
    <w:pPr>
      <w:shd w:val="clear" w:color="auto" w:fill="FFFFFF"/>
      <w:tabs>
        <w:tab w:val="center" w:pos="4536"/>
        <w:tab w:val="right" w:pos="9072"/>
      </w:tabs>
      <w:spacing w:line="288" w:lineRule="atLeast"/>
    </w:pPr>
    <w:rPr>
      <w:rFonts w:eastAsia="Times New Roman" w:cs="Arial"/>
      <w:sz w:val="15"/>
      <w:lang w:eastAsia="de-DE"/>
    </w:rPr>
  </w:style>
  <w:style w:type="paragraph" w:customStyle="1" w:styleId="Kategorie">
    <w:name w:val="Kategorie"/>
    <w:basedOn w:val="berschrift1"/>
    <w:next w:val="berschrift1"/>
    <w:autoRedefine/>
    <w:rsid w:val="00755227"/>
  </w:style>
  <w:style w:type="paragraph" w:customStyle="1" w:styleId="Adresselight">
    <w:name w:val="Adresse_light"/>
    <w:basedOn w:val="Standard"/>
    <w:autoRedefine/>
    <w:rsid w:val="00755227"/>
    <w:pPr>
      <w:framePr w:w="2835" w:h="2835" w:hRule="exact" w:hSpace="180" w:wrap="around" w:vAnchor="text" w:hAnchor="text" w:x="7380" w:y="180"/>
      <w:shd w:val="solid" w:color="FFFFFF" w:fill="FFFFFF"/>
      <w:spacing w:after="0" w:line="200" w:lineRule="exact"/>
    </w:pPr>
    <w:rPr>
      <w:rFonts w:cs="Arial"/>
      <w:b/>
      <w:sz w:val="15"/>
      <w:szCs w:val="18"/>
    </w:rPr>
  </w:style>
  <w:style w:type="paragraph" w:customStyle="1" w:styleId="Adressebold">
    <w:name w:val="Adresse_bold"/>
    <w:basedOn w:val="Adresselight"/>
    <w:autoRedefine/>
    <w:rsid w:val="00755227"/>
    <w:pPr>
      <w:framePr w:hRule="auto" w:hSpace="181" w:wrap="around" w:vAnchor="page" w:x="7378" w:y="2723"/>
    </w:pPr>
  </w:style>
  <w:style w:type="paragraph" w:customStyle="1" w:styleId="Einleitung">
    <w:name w:val="Einleitung"/>
    <w:basedOn w:val="Flietext"/>
    <w:next w:val="Flietext"/>
    <w:autoRedefine/>
    <w:rsid w:val="00755227"/>
    <w:pPr>
      <w:spacing w:before="120"/>
    </w:pPr>
    <w:rPr>
      <w:b/>
    </w:rPr>
  </w:style>
  <w:style w:type="paragraph" w:styleId="Kopfzeile">
    <w:name w:val="header"/>
    <w:basedOn w:val="Standard"/>
    <w:rsid w:val="00755227"/>
    <w:pPr>
      <w:tabs>
        <w:tab w:val="center" w:pos="4536"/>
        <w:tab w:val="right" w:pos="9072"/>
      </w:tabs>
    </w:pPr>
  </w:style>
  <w:style w:type="character" w:styleId="Hyperlink">
    <w:name w:val="Hyperlink"/>
    <w:uiPriority w:val="99"/>
    <w:rsid w:val="00755227"/>
    <w:rPr>
      <w:color w:val="0000FF"/>
      <w:u w:val="single"/>
    </w:rPr>
  </w:style>
  <w:style w:type="paragraph" w:styleId="Listenabsatz">
    <w:name w:val="List Paragraph"/>
    <w:basedOn w:val="Standard"/>
    <w:uiPriority w:val="34"/>
    <w:qFormat/>
    <w:rsid w:val="00AD6A68"/>
    <w:pPr>
      <w:spacing w:after="160" w:line="259"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0B1DED"/>
    <w:pPr>
      <w:spacing w:before="100" w:beforeAutospacing="1" w:after="100" w:afterAutospacing="1" w:line="240" w:lineRule="auto"/>
    </w:pPr>
    <w:rPr>
      <w:rFonts w:ascii="Times New Roman" w:eastAsia="Times New Roman" w:hAnsi="Times New Roman"/>
      <w:sz w:val="24"/>
      <w:lang w:eastAsia="de-DE"/>
    </w:rPr>
  </w:style>
  <w:style w:type="character" w:styleId="Fett">
    <w:name w:val="Strong"/>
    <w:basedOn w:val="Absatz-Standardschriftart"/>
    <w:uiPriority w:val="22"/>
    <w:qFormat/>
    <w:rsid w:val="000B1DED"/>
    <w:rPr>
      <w:b/>
      <w:bCs/>
    </w:rPr>
  </w:style>
  <w:style w:type="character" w:customStyle="1" w:styleId="berschrift4Zchn">
    <w:name w:val="Überschrift 4 Zchn"/>
    <w:basedOn w:val="Absatz-Standardschriftart"/>
    <w:link w:val="berschrift4"/>
    <w:uiPriority w:val="9"/>
    <w:rsid w:val="00B82C2A"/>
    <w:rPr>
      <w:rFonts w:asciiTheme="majorHAnsi" w:eastAsiaTheme="majorEastAsia" w:hAnsiTheme="majorHAnsi" w:cstheme="majorBidi"/>
      <w:i/>
      <w:iCs/>
      <w:color w:val="2E74B5" w:themeColor="accent1" w:themeShade="BF"/>
      <w:szCs w:val="24"/>
      <w:lang w:eastAsia="ko-KR"/>
    </w:rPr>
  </w:style>
  <w:style w:type="character" w:styleId="Kommentarzeichen">
    <w:name w:val="annotation reference"/>
    <w:basedOn w:val="Absatz-Standardschriftart"/>
    <w:rsid w:val="00B94553"/>
    <w:rPr>
      <w:sz w:val="16"/>
      <w:szCs w:val="16"/>
    </w:rPr>
  </w:style>
  <w:style w:type="paragraph" w:styleId="Kommentartext">
    <w:name w:val="annotation text"/>
    <w:basedOn w:val="Standard"/>
    <w:link w:val="KommentartextZchn"/>
    <w:rsid w:val="00B94553"/>
    <w:pPr>
      <w:spacing w:line="240" w:lineRule="auto"/>
    </w:pPr>
    <w:rPr>
      <w:szCs w:val="20"/>
    </w:rPr>
  </w:style>
  <w:style w:type="character" w:customStyle="1" w:styleId="KommentartextZchn">
    <w:name w:val="Kommentartext Zchn"/>
    <w:basedOn w:val="Absatz-Standardschriftart"/>
    <w:link w:val="Kommentartext"/>
    <w:rsid w:val="00B94553"/>
    <w:rPr>
      <w:rFonts w:ascii="Arial" w:hAnsi="Arial"/>
      <w:lang w:eastAsia="ko-KR"/>
    </w:rPr>
  </w:style>
  <w:style w:type="paragraph" w:styleId="Kommentarthema">
    <w:name w:val="annotation subject"/>
    <w:basedOn w:val="Kommentartext"/>
    <w:next w:val="Kommentartext"/>
    <w:link w:val="KommentarthemaZchn"/>
    <w:rsid w:val="00B94553"/>
    <w:rPr>
      <w:b/>
      <w:bCs/>
    </w:rPr>
  </w:style>
  <w:style w:type="character" w:customStyle="1" w:styleId="KommentarthemaZchn">
    <w:name w:val="Kommentarthema Zchn"/>
    <w:basedOn w:val="KommentartextZchn"/>
    <w:link w:val="Kommentarthema"/>
    <w:rsid w:val="00B94553"/>
    <w:rPr>
      <w:rFonts w:ascii="Arial" w:hAnsi="Arial"/>
      <w:b/>
      <w:bCs/>
      <w:lang w:eastAsia="ko-KR"/>
    </w:rPr>
  </w:style>
  <w:style w:type="paragraph" w:styleId="Sprechblasentext">
    <w:name w:val="Balloon Text"/>
    <w:basedOn w:val="Standard"/>
    <w:link w:val="SprechblasentextZchn"/>
    <w:rsid w:val="00B945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B94553"/>
    <w:rPr>
      <w:rFonts w:ascii="Segoe UI" w:hAnsi="Segoe UI" w:cs="Segoe UI"/>
      <w:sz w:val="18"/>
      <w:szCs w:val="18"/>
      <w:lang w:eastAsia="ko-KR"/>
    </w:rPr>
  </w:style>
  <w:style w:type="paragraph" w:styleId="berarbeitung">
    <w:name w:val="Revision"/>
    <w:hidden/>
    <w:uiPriority w:val="99"/>
    <w:semiHidden/>
    <w:rsid w:val="001B714C"/>
    <w:rPr>
      <w:rFonts w:ascii="Arial" w:hAnsi="Arial"/>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2081">
      <w:bodyDiv w:val="1"/>
      <w:marLeft w:val="0"/>
      <w:marRight w:val="0"/>
      <w:marTop w:val="0"/>
      <w:marBottom w:val="0"/>
      <w:divBdr>
        <w:top w:val="none" w:sz="0" w:space="0" w:color="auto"/>
        <w:left w:val="none" w:sz="0" w:space="0" w:color="auto"/>
        <w:bottom w:val="none" w:sz="0" w:space="0" w:color="auto"/>
        <w:right w:val="none" w:sz="0" w:space="0" w:color="auto"/>
      </w:divBdr>
    </w:div>
    <w:div w:id="405883761">
      <w:bodyDiv w:val="1"/>
      <w:marLeft w:val="0"/>
      <w:marRight w:val="0"/>
      <w:marTop w:val="0"/>
      <w:marBottom w:val="0"/>
      <w:divBdr>
        <w:top w:val="none" w:sz="0" w:space="0" w:color="auto"/>
        <w:left w:val="none" w:sz="0" w:space="0" w:color="auto"/>
        <w:bottom w:val="none" w:sz="0" w:space="0" w:color="auto"/>
        <w:right w:val="none" w:sz="0" w:space="0" w:color="auto"/>
      </w:divBdr>
      <w:divsChild>
        <w:div w:id="623926528">
          <w:marLeft w:val="0"/>
          <w:marRight w:val="0"/>
          <w:marTop w:val="0"/>
          <w:marBottom w:val="135"/>
          <w:divBdr>
            <w:top w:val="none" w:sz="0" w:space="0" w:color="auto"/>
            <w:left w:val="none" w:sz="0" w:space="0" w:color="auto"/>
            <w:bottom w:val="none" w:sz="0" w:space="0" w:color="auto"/>
            <w:right w:val="none" w:sz="0" w:space="0" w:color="auto"/>
          </w:divBdr>
          <w:divsChild>
            <w:div w:id="1563252403">
              <w:marLeft w:val="0"/>
              <w:marRight w:val="0"/>
              <w:marTop w:val="0"/>
              <w:marBottom w:val="0"/>
              <w:divBdr>
                <w:top w:val="none" w:sz="0" w:space="0" w:color="auto"/>
                <w:left w:val="none" w:sz="0" w:space="0" w:color="auto"/>
                <w:bottom w:val="none" w:sz="0" w:space="0" w:color="auto"/>
                <w:right w:val="none" w:sz="0" w:space="0" w:color="auto"/>
              </w:divBdr>
            </w:div>
          </w:divsChild>
        </w:div>
        <w:div w:id="1092360795">
          <w:marLeft w:val="0"/>
          <w:marRight w:val="0"/>
          <w:marTop w:val="0"/>
          <w:marBottom w:val="150"/>
          <w:divBdr>
            <w:top w:val="none" w:sz="0" w:space="0" w:color="auto"/>
            <w:left w:val="none" w:sz="0" w:space="0" w:color="auto"/>
            <w:bottom w:val="none" w:sz="0" w:space="0" w:color="auto"/>
            <w:right w:val="none" w:sz="0" w:space="0" w:color="auto"/>
          </w:divBdr>
        </w:div>
      </w:divsChild>
    </w:div>
    <w:div w:id="432433420">
      <w:bodyDiv w:val="1"/>
      <w:marLeft w:val="0"/>
      <w:marRight w:val="0"/>
      <w:marTop w:val="0"/>
      <w:marBottom w:val="0"/>
      <w:divBdr>
        <w:top w:val="none" w:sz="0" w:space="0" w:color="auto"/>
        <w:left w:val="none" w:sz="0" w:space="0" w:color="auto"/>
        <w:bottom w:val="none" w:sz="0" w:space="0" w:color="auto"/>
        <w:right w:val="none" w:sz="0" w:space="0" w:color="auto"/>
      </w:divBdr>
    </w:div>
    <w:div w:id="502208424">
      <w:bodyDiv w:val="1"/>
      <w:marLeft w:val="0"/>
      <w:marRight w:val="0"/>
      <w:marTop w:val="0"/>
      <w:marBottom w:val="0"/>
      <w:divBdr>
        <w:top w:val="none" w:sz="0" w:space="0" w:color="auto"/>
        <w:left w:val="none" w:sz="0" w:space="0" w:color="auto"/>
        <w:bottom w:val="none" w:sz="0" w:space="0" w:color="auto"/>
        <w:right w:val="none" w:sz="0" w:space="0" w:color="auto"/>
      </w:divBdr>
    </w:div>
    <w:div w:id="507212063">
      <w:bodyDiv w:val="1"/>
      <w:marLeft w:val="0"/>
      <w:marRight w:val="0"/>
      <w:marTop w:val="0"/>
      <w:marBottom w:val="0"/>
      <w:divBdr>
        <w:top w:val="none" w:sz="0" w:space="0" w:color="auto"/>
        <w:left w:val="none" w:sz="0" w:space="0" w:color="auto"/>
        <w:bottom w:val="none" w:sz="0" w:space="0" w:color="auto"/>
        <w:right w:val="none" w:sz="0" w:space="0" w:color="auto"/>
      </w:divBdr>
    </w:div>
    <w:div w:id="1079206842">
      <w:bodyDiv w:val="1"/>
      <w:marLeft w:val="0"/>
      <w:marRight w:val="0"/>
      <w:marTop w:val="0"/>
      <w:marBottom w:val="0"/>
      <w:divBdr>
        <w:top w:val="none" w:sz="0" w:space="0" w:color="auto"/>
        <w:left w:val="none" w:sz="0" w:space="0" w:color="auto"/>
        <w:bottom w:val="none" w:sz="0" w:space="0" w:color="auto"/>
        <w:right w:val="none" w:sz="0" w:space="0" w:color="auto"/>
      </w:divBdr>
    </w:div>
    <w:div w:id="1116369159">
      <w:bodyDiv w:val="1"/>
      <w:marLeft w:val="0"/>
      <w:marRight w:val="0"/>
      <w:marTop w:val="0"/>
      <w:marBottom w:val="0"/>
      <w:divBdr>
        <w:top w:val="none" w:sz="0" w:space="0" w:color="auto"/>
        <w:left w:val="none" w:sz="0" w:space="0" w:color="auto"/>
        <w:bottom w:val="none" w:sz="0" w:space="0" w:color="auto"/>
        <w:right w:val="none" w:sz="0" w:space="0" w:color="auto"/>
      </w:divBdr>
    </w:div>
    <w:div w:id="1279337758">
      <w:bodyDiv w:val="1"/>
      <w:marLeft w:val="0"/>
      <w:marRight w:val="0"/>
      <w:marTop w:val="0"/>
      <w:marBottom w:val="0"/>
      <w:divBdr>
        <w:top w:val="none" w:sz="0" w:space="0" w:color="auto"/>
        <w:left w:val="none" w:sz="0" w:space="0" w:color="auto"/>
        <w:bottom w:val="none" w:sz="0" w:space="0" w:color="auto"/>
        <w:right w:val="none" w:sz="0" w:space="0" w:color="auto"/>
      </w:divBdr>
    </w:div>
    <w:div w:id="1353142945">
      <w:bodyDiv w:val="1"/>
      <w:marLeft w:val="0"/>
      <w:marRight w:val="0"/>
      <w:marTop w:val="0"/>
      <w:marBottom w:val="0"/>
      <w:divBdr>
        <w:top w:val="none" w:sz="0" w:space="0" w:color="auto"/>
        <w:left w:val="none" w:sz="0" w:space="0" w:color="auto"/>
        <w:bottom w:val="none" w:sz="0" w:space="0" w:color="auto"/>
        <w:right w:val="none" w:sz="0" w:space="0" w:color="auto"/>
      </w:divBdr>
    </w:div>
    <w:div w:id="1437139066">
      <w:bodyDiv w:val="1"/>
      <w:marLeft w:val="0"/>
      <w:marRight w:val="0"/>
      <w:marTop w:val="0"/>
      <w:marBottom w:val="0"/>
      <w:divBdr>
        <w:top w:val="none" w:sz="0" w:space="0" w:color="auto"/>
        <w:left w:val="none" w:sz="0" w:space="0" w:color="auto"/>
        <w:bottom w:val="none" w:sz="0" w:space="0" w:color="auto"/>
        <w:right w:val="none" w:sz="0" w:space="0" w:color="auto"/>
      </w:divBdr>
    </w:div>
    <w:div w:id="1604458072">
      <w:bodyDiv w:val="1"/>
      <w:marLeft w:val="0"/>
      <w:marRight w:val="0"/>
      <w:marTop w:val="0"/>
      <w:marBottom w:val="0"/>
      <w:divBdr>
        <w:top w:val="none" w:sz="0" w:space="0" w:color="auto"/>
        <w:left w:val="none" w:sz="0" w:space="0" w:color="auto"/>
        <w:bottom w:val="none" w:sz="0" w:space="0" w:color="auto"/>
        <w:right w:val="none" w:sz="0" w:space="0" w:color="auto"/>
      </w:divBdr>
    </w:div>
    <w:div w:id="1877886734">
      <w:bodyDiv w:val="1"/>
      <w:marLeft w:val="0"/>
      <w:marRight w:val="0"/>
      <w:marTop w:val="0"/>
      <w:marBottom w:val="0"/>
      <w:divBdr>
        <w:top w:val="none" w:sz="0" w:space="0" w:color="auto"/>
        <w:left w:val="none" w:sz="0" w:space="0" w:color="auto"/>
        <w:bottom w:val="none" w:sz="0" w:space="0" w:color="auto"/>
        <w:right w:val="none" w:sz="0" w:space="0" w:color="auto"/>
      </w:divBdr>
    </w:div>
    <w:div w:id="188409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gif"/><Relationship Id="rId3" Type="http://schemas.openxmlformats.org/officeDocument/2006/relationships/hyperlink" Target="https://www.facebook.com/PERI" TargetMode="External"/><Relationship Id="rId7" Type="http://schemas.openxmlformats.org/officeDocument/2006/relationships/hyperlink" Target="https://www.youtube.com/user/PERIcompany" TargetMode="External"/><Relationship Id="rId12" Type="http://schemas.openxmlformats.org/officeDocument/2006/relationships/image" Target="media/image12.gif"/><Relationship Id="rId2" Type="http://schemas.openxmlformats.org/officeDocument/2006/relationships/image" Target="media/image7.gif"/><Relationship Id="rId1" Type="http://schemas.openxmlformats.org/officeDocument/2006/relationships/hyperlink" Target="https://www.linkedin.com/company/peri" TargetMode="External"/><Relationship Id="rId6" Type="http://schemas.openxmlformats.org/officeDocument/2006/relationships/image" Target="media/image9.gif"/><Relationship Id="rId11" Type="http://schemas.openxmlformats.org/officeDocument/2006/relationships/hyperlink" Target="https://www.xing.com/companies/perigmbh" TargetMode="External"/><Relationship Id="rId5" Type="http://schemas.openxmlformats.org/officeDocument/2006/relationships/hyperlink" Target="https://twitter.com/perigroup" TargetMode="External"/><Relationship Id="rId10" Type="http://schemas.openxmlformats.org/officeDocument/2006/relationships/image" Target="media/image11.gif"/><Relationship Id="rId4" Type="http://schemas.openxmlformats.org/officeDocument/2006/relationships/image" Target="media/image8.gif"/><Relationship Id="rId9" Type="http://schemas.openxmlformats.org/officeDocument/2006/relationships/hyperlink" Target="https://www.instagram.com/pericorpor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5288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 release</vt:lpstr>
    </vt:vector>
  </TitlesOfParts>
  <Company>PERI GmbH Weissenhorn</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Project report</dc:subject>
  <dc:creator>Lisa Schulte</dc:creator>
  <cp:keywords/>
  <cp:lastModifiedBy>Schulte, Lisa</cp:lastModifiedBy>
  <cp:revision>11</cp:revision>
  <cp:lastPrinted>2020-05-19T07:23:00Z</cp:lastPrinted>
  <dcterms:created xsi:type="dcterms:W3CDTF">2020-05-29T06:32:00Z</dcterms:created>
  <dcterms:modified xsi:type="dcterms:W3CDTF">2020-06-25T13:21:00Z</dcterms:modified>
</cp:coreProperties>
</file>